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925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036"/>
        <w:gridCol w:w="222"/>
      </w:tblGrid>
      <w:tr w:rsidR="0094424E" w:rsidTr="009332D9">
        <w:trPr>
          <w:jc w:val="center"/>
        </w:trPr>
        <w:tc>
          <w:tcPr>
            <w:tcW w:w="9036" w:type="dxa"/>
          </w:tcPr>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784003" w:rsidTr="00784003">
              <w:trPr>
                <w:jc w:val="center"/>
              </w:trPr>
              <w:tc>
                <w:tcPr>
                  <w:tcW w:w="743" w:type="dxa"/>
                  <w:hideMark/>
                </w:tcPr>
                <w:p w:rsidR="00784003" w:rsidRDefault="0094424E" w:rsidP="00784003">
                  <w:pPr>
                    <w:suppressLineNumbers/>
                    <w:jc w:val="both"/>
                    <w:rPr>
                      <w:rFonts w:ascii="Arial" w:hAnsi="Arial"/>
                      <w:b/>
                      <w:bCs/>
                      <w:sz w:val="26"/>
                      <w:szCs w:val="26"/>
                    </w:rPr>
                  </w:pPr>
                  <w:bookmarkStart w:id="0" w:name="_GoBack"/>
                  <w:bookmarkEnd w:id="0"/>
                  <w:r>
                    <w:rPr>
                      <w:rtl/>
                    </w:rPr>
                    <w:t xml:space="preserve"> </w:t>
                  </w:r>
                  <w:r w:rsidR="00784003">
                    <w:rPr>
                      <w:rFonts w:ascii="Arial" w:hAnsi="Arial"/>
                      <w:b/>
                      <w:bCs/>
                      <w:sz w:val="26"/>
                      <w:szCs w:val="26"/>
                      <w:rtl/>
                    </w:rPr>
                    <w:t xml:space="preserve">לפני </w:t>
                  </w:r>
                </w:p>
              </w:tc>
              <w:tc>
                <w:tcPr>
                  <w:tcW w:w="8077" w:type="dxa"/>
                  <w:gridSpan w:val="2"/>
                </w:tcPr>
                <w:p w:rsidR="00784003" w:rsidRDefault="00784003" w:rsidP="00784003">
                  <w:pPr>
                    <w:suppressLineNumbers/>
                    <w:rPr>
                      <w:rFonts w:ascii="Arial" w:hAnsi="Arial"/>
                      <w:b/>
                      <w:bCs/>
                      <w:sz w:val="26"/>
                      <w:szCs w:val="26"/>
                      <w:rtl/>
                    </w:rPr>
                  </w:pPr>
                  <w:r>
                    <w:rPr>
                      <w:rFonts w:ascii="Arial" w:hAnsi="Arial"/>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מוחמד חאג' יחיא</w:t>
                      </w:r>
                    </w:sdtContent>
                  </w:sdt>
                </w:p>
                <w:p w:rsidR="00784003" w:rsidRDefault="00784003" w:rsidP="00784003">
                  <w:pPr>
                    <w:suppressLineNumbers/>
                    <w:rPr>
                      <w:rFonts w:ascii="Arial" w:hAnsi="Arial" w:cs="FrankRuehl"/>
                      <w:sz w:val="26"/>
                      <w:szCs w:val="26"/>
                      <w:highlight w:val="yellow"/>
                      <w:rtl/>
                    </w:rPr>
                  </w:pPr>
                </w:p>
              </w:tc>
            </w:tr>
            <w:tr w:rsidR="00784003" w:rsidTr="00784003">
              <w:trPr>
                <w:jc w:val="center"/>
              </w:trPr>
              <w:tc>
                <w:tcPr>
                  <w:tcW w:w="3249" w:type="dxa"/>
                  <w:gridSpan w:val="2"/>
                </w:tcPr>
                <w:p w:rsidR="00784003" w:rsidRDefault="00784003" w:rsidP="00784003">
                  <w:pPr>
                    <w:suppressLineNumbers/>
                    <w:rPr>
                      <w:rFonts w:ascii="Arial" w:hAnsi="Arial"/>
                      <w:b/>
                      <w:bCs/>
                      <w:noProof w:val="0"/>
                    </w:rPr>
                  </w:pPr>
                </w:p>
                <w:sdt>
                  <w:sdtPr>
                    <w:rPr>
                      <w:rtl/>
                    </w:rPr>
                    <w:alias w:val="1180"/>
                    <w:tag w:val="1180"/>
                    <w:id w:val="637458750"/>
                    <w:text w:multiLine="1"/>
                  </w:sdtPr>
                  <w:sdtEndPr/>
                  <w:sdtContent>
                    <w:p w:rsidR="00784003" w:rsidRDefault="00784003" w:rsidP="00784003">
                      <w:pPr>
                        <w:suppressLineNumbers/>
                      </w:pPr>
                      <w:r>
                        <w:rPr>
                          <w:rFonts w:ascii="Arial" w:hAnsi="Arial"/>
                          <w:b/>
                          <w:bCs/>
                          <w:noProof w:val="0"/>
                          <w:rtl/>
                        </w:rPr>
                        <w:t>התובע</w:t>
                      </w:r>
                    </w:p>
                  </w:sdtContent>
                </w:sdt>
                <w:p w:rsidR="00784003" w:rsidRDefault="00784003" w:rsidP="00784003">
                  <w:pPr>
                    <w:suppressLineNumbers/>
                    <w:rPr>
                      <w:rFonts w:ascii="Arial" w:hAnsi="Arial"/>
                      <w:b/>
                      <w:bCs/>
                      <w:noProof w:val="0"/>
                      <w:rtl/>
                    </w:rPr>
                  </w:pPr>
                  <w:r>
                    <w:rPr>
                      <w:rFonts w:ascii="Arial" w:hAnsi="Arial"/>
                      <w:b/>
                      <w:bCs/>
                      <w:rtl/>
                    </w:rPr>
                    <w:t>(המשיב)</w:t>
                  </w:r>
                </w:p>
              </w:tc>
              <w:tc>
                <w:tcPr>
                  <w:tcW w:w="5571" w:type="dxa"/>
                </w:tcPr>
                <w:p w:rsidR="00784003" w:rsidRDefault="00784003" w:rsidP="00784003">
                  <w:pPr>
                    <w:suppressLineNumbers/>
                    <w:rPr>
                      <w:rFonts w:ascii="Arial" w:hAnsi="Arial"/>
                      <w:b/>
                      <w:bCs/>
                      <w:noProof w:val="0"/>
                      <w:rtl/>
                    </w:rPr>
                  </w:pPr>
                </w:p>
                <w:p w:rsidR="00784003" w:rsidRDefault="003462D8" w:rsidP="00784003">
                  <w:pPr>
                    <w:suppressLineNumbers/>
                    <w:rPr>
                      <w:rtl/>
                    </w:rPr>
                  </w:pPr>
                  <w:sdt>
                    <w:sdtPr>
                      <w:rPr>
                        <w:rFonts w:ascii="Arial" w:hAnsi="Arial"/>
                        <w:b/>
                        <w:bCs/>
                        <w:noProof w:val="0"/>
                        <w:rtl/>
                      </w:rPr>
                      <w:alias w:val="3151"/>
                      <w:tag w:val="3151"/>
                      <w:id w:val="1398553265"/>
                      <w:placeholder>
                        <w:docPart w:val="FC6B4CE5370E4AD6BE7B0727A9101098"/>
                      </w:placeholder>
                      <w:text w:multiLine="1"/>
                    </w:sdtPr>
                    <w:sdtEndPr/>
                    <w:sdtContent>
                      <w:r w:rsidR="00784003">
                        <w:rPr>
                          <w:rFonts w:ascii="Arial" w:hAnsi="Arial" w:hint="cs"/>
                          <w:b/>
                          <w:bCs/>
                          <w:noProof w:val="0"/>
                          <w:rtl/>
                        </w:rPr>
                        <w:t>פלוני</w:t>
                      </w:r>
                    </w:sdtContent>
                  </w:sdt>
                </w:p>
                <w:p w:rsidR="00784003" w:rsidRDefault="00784003" w:rsidP="00784003">
                  <w:pPr>
                    <w:suppressLineNumbers/>
                    <w:rPr>
                      <w:noProof w:val="0"/>
                      <w:rtl/>
                    </w:rPr>
                  </w:pPr>
                  <w:r>
                    <w:rPr>
                      <w:rFonts w:ascii="Arial" w:hAnsi="Arial"/>
                      <w:noProof w:val="0"/>
                      <w:rtl/>
                    </w:rPr>
                    <w:t>ע"י ב"כ עו"ד ארז אלקיים</w:t>
                  </w:r>
                </w:p>
              </w:tc>
            </w:tr>
            <w:tr w:rsidR="00784003" w:rsidTr="00784003">
              <w:trPr>
                <w:jc w:val="center"/>
              </w:trPr>
              <w:tc>
                <w:tcPr>
                  <w:tcW w:w="8820" w:type="dxa"/>
                  <w:gridSpan w:val="3"/>
                </w:tcPr>
                <w:p w:rsidR="00784003" w:rsidRDefault="00784003" w:rsidP="00784003">
                  <w:pPr>
                    <w:suppressLineNumbers/>
                    <w:rPr>
                      <w:rFonts w:ascii="Arial" w:hAnsi="Arial"/>
                      <w:b/>
                      <w:bCs/>
                      <w:noProof w:val="0"/>
                    </w:rPr>
                  </w:pPr>
                </w:p>
                <w:p w:rsidR="00784003" w:rsidRDefault="00784003" w:rsidP="00784003">
                  <w:pPr>
                    <w:suppressLineNumbers/>
                    <w:jc w:val="center"/>
                    <w:rPr>
                      <w:rFonts w:ascii="Arial" w:hAnsi="Arial"/>
                      <w:b/>
                      <w:bCs/>
                      <w:noProof w:val="0"/>
                      <w:rtl/>
                    </w:rPr>
                  </w:pPr>
                  <w:r>
                    <w:rPr>
                      <w:rFonts w:ascii="Arial" w:hAnsi="Arial"/>
                      <w:b/>
                      <w:bCs/>
                      <w:noProof w:val="0"/>
                      <w:rtl/>
                    </w:rPr>
                    <w:t>נגד</w:t>
                  </w:r>
                </w:p>
                <w:p w:rsidR="00784003" w:rsidRDefault="00784003" w:rsidP="00784003">
                  <w:pPr>
                    <w:suppressLineNumbers/>
                    <w:rPr>
                      <w:rFonts w:ascii="Arial" w:hAnsi="Arial"/>
                      <w:b/>
                      <w:bCs/>
                      <w:noProof w:val="0"/>
                      <w:rtl/>
                    </w:rPr>
                  </w:pPr>
                </w:p>
              </w:tc>
            </w:tr>
            <w:tr w:rsidR="00784003" w:rsidTr="00784003">
              <w:trPr>
                <w:jc w:val="center"/>
              </w:trPr>
              <w:tc>
                <w:tcPr>
                  <w:tcW w:w="3249" w:type="dxa"/>
                  <w:gridSpan w:val="2"/>
                  <w:hideMark/>
                </w:tcPr>
                <w:p w:rsidR="00784003" w:rsidRDefault="003462D8" w:rsidP="00784003">
                  <w:pPr>
                    <w:suppressLineNumbers/>
                    <w:rPr>
                      <w:rFonts w:ascii="Arial" w:hAnsi="Arial"/>
                      <w:b/>
                      <w:bCs/>
                      <w:noProof w:val="0"/>
                    </w:rPr>
                  </w:pPr>
                  <w:sdt>
                    <w:sdtPr>
                      <w:rPr>
                        <w:rtl/>
                      </w:rPr>
                      <w:alias w:val="1184"/>
                      <w:tag w:val="1184"/>
                      <w:id w:val="-340621022"/>
                      <w:text w:multiLine="1"/>
                    </w:sdtPr>
                    <w:sdtEndPr/>
                    <w:sdtContent>
                      <w:r w:rsidR="00784003">
                        <w:rPr>
                          <w:rFonts w:ascii="Arial" w:hAnsi="Arial"/>
                          <w:b/>
                          <w:bCs/>
                          <w:noProof w:val="0"/>
                          <w:rtl/>
                        </w:rPr>
                        <w:t>הנתבעות</w:t>
                      </w:r>
                    </w:sdtContent>
                  </w:sdt>
                </w:p>
                <w:p w:rsidR="00784003" w:rsidRDefault="00784003" w:rsidP="00784003">
                  <w:pPr>
                    <w:suppressLineNumbers/>
                    <w:rPr>
                      <w:rFonts w:ascii="Arial" w:hAnsi="Arial"/>
                      <w:b/>
                      <w:bCs/>
                      <w:noProof w:val="0"/>
                      <w:rtl/>
                    </w:rPr>
                  </w:pPr>
                  <w:r>
                    <w:rPr>
                      <w:rFonts w:ascii="Arial" w:hAnsi="Arial"/>
                      <w:b/>
                      <w:bCs/>
                      <w:noProof w:val="0"/>
                      <w:rtl/>
                    </w:rPr>
                    <w:t>(המבקשות)</w:t>
                  </w:r>
                </w:p>
              </w:tc>
              <w:tc>
                <w:tcPr>
                  <w:tcW w:w="5571" w:type="dxa"/>
                  <w:hideMark/>
                </w:tcPr>
                <w:p w:rsidR="00784003" w:rsidRDefault="003462D8" w:rsidP="00784003">
                  <w:pPr>
                    <w:suppressLineNumbers/>
                  </w:pPr>
                  <w:sdt>
                    <w:sdtPr>
                      <w:rPr>
                        <w:rtl/>
                      </w:rPr>
                      <w:alias w:val="1571"/>
                      <w:tag w:val="1571"/>
                      <w:id w:val="1028836282"/>
                      <w:text w:multiLine="1"/>
                    </w:sdtPr>
                    <w:sdtEndPr/>
                    <w:sdtContent>
                      <w:r w:rsidR="00784003">
                        <w:rPr>
                          <w:rFonts w:ascii="Arial" w:hAnsi="Arial"/>
                          <w:b/>
                          <w:bCs/>
                          <w:noProof w:val="0"/>
                          <w:rtl/>
                        </w:rPr>
                        <w:t>1</w:t>
                      </w:r>
                    </w:sdtContent>
                  </w:sdt>
                  <w:r w:rsidR="00784003">
                    <w:rPr>
                      <w:rFonts w:ascii="Arial" w:hAnsi="Arial"/>
                      <w:b/>
                      <w:bCs/>
                      <w:noProof w:val="0"/>
                      <w:rtl/>
                    </w:rPr>
                    <w:t xml:space="preserve">. </w:t>
                  </w:r>
                  <w:sdt>
                    <w:sdtPr>
                      <w:rPr>
                        <w:rFonts w:ascii="Arial" w:hAnsi="Arial"/>
                        <w:b/>
                        <w:bCs/>
                        <w:noProof w:val="0"/>
                        <w:rtl/>
                      </w:rPr>
                      <w:alias w:val="3152"/>
                      <w:tag w:val="3152"/>
                      <w:id w:val="1920052440"/>
                      <w:placeholder>
                        <w:docPart w:val="E4EDCD88DC8346268A3ACA6B5016E27B"/>
                      </w:placeholder>
                      <w:text w:multiLine="1"/>
                    </w:sdtPr>
                    <w:sdtEndPr/>
                    <w:sdtContent>
                      <w:r w:rsidR="00784003">
                        <w:rPr>
                          <w:rFonts w:ascii="Arial" w:hAnsi="Arial" w:hint="cs"/>
                          <w:b/>
                          <w:bCs/>
                          <w:noProof w:val="0"/>
                          <w:rtl/>
                        </w:rPr>
                        <w:t>אלמונית</w:t>
                      </w:r>
                    </w:sdtContent>
                  </w:sdt>
                </w:p>
                <w:p w:rsidR="00784003" w:rsidRDefault="003462D8" w:rsidP="00784003">
                  <w:pPr>
                    <w:suppressLineNumbers/>
                    <w:rPr>
                      <w:rFonts w:ascii="Arial" w:hAnsi="Arial"/>
                      <w:b/>
                      <w:bCs/>
                      <w:noProof w:val="0"/>
                      <w:rtl/>
                    </w:rPr>
                  </w:pPr>
                  <w:sdt>
                    <w:sdtPr>
                      <w:rPr>
                        <w:rtl/>
                      </w:rPr>
                      <w:alias w:val="1571"/>
                      <w:tag w:val="1571"/>
                      <w:id w:val="-848257175"/>
                      <w:text w:multiLine="1"/>
                    </w:sdtPr>
                    <w:sdtEndPr/>
                    <w:sdtContent>
                      <w:r w:rsidR="00784003">
                        <w:rPr>
                          <w:rFonts w:ascii="Arial" w:hAnsi="Arial"/>
                          <w:b/>
                          <w:bCs/>
                          <w:noProof w:val="0"/>
                          <w:rtl/>
                        </w:rPr>
                        <w:t>2</w:t>
                      </w:r>
                    </w:sdtContent>
                  </w:sdt>
                  <w:r w:rsidR="00784003">
                    <w:rPr>
                      <w:rFonts w:ascii="Arial" w:hAnsi="Arial"/>
                      <w:b/>
                      <w:bCs/>
                      <w:noProof w:val="0"/>
                      <w:rtl/>
                    </w:rPr>
                    <w:t xml:space="preserve">. </w:t>
                  </w:r>
                  <w:r w:rsidR="00784003">
                    <w:rPr>
                      <w:rFonts w:ascii="Arial" w:hAnsi="Arial" w:hint="cs"/>
                      <w:b/>
                      <w:bCs/>
                      <w:noProof w:val="0"/>
                      <w:rtl/>
                    </w:rPr>
                    <w:t>אלמונית</w:t>
                  </w:r>
                </w:p>
                <w:p w:rsidR="00784003" w:rsidRDefault="00784003" w:rsidP="00784003">
                  <w:pPr>
                    <w:suppressLineNumbers/>
                    <w:rPr>
                      <w:rtl/>
                    </w:rPr>
                  </w:pPr>
                  <w:r>
                    <w:rPr>
                      <w:rtl/>
                    </w:rPr>
                    <w:t>ע"י ב"כ עו"ד יאיר מאק</w:t>
                  </w:r>
                </w:p>
              </w:tc>
            </w:tr>
          </w:tbl>
          <w:p w:rsidR="0094424E" w:rsidRPr="00784003" w:rsidRDefault="0094424E" w:rsidP="00D44968">
            <w:pPr>
              <w:suppressLineNumbers/>
              <w:jc w:val="both"/>
              <w:rPr>
                <w:rFonts w:ascii="Arial" w:hAnsi="Arial"/>
                <w:b/>
                <w:bCs/>
                <w:sz w:val="26"/>
                <w:szCs w:val="26"/>
                <w:rtl/>
              </w:rPr>
            </w:pPr>
          </w:p>
        </w:tc>
        <w:tc>
          <w:tcPr>
            <w:tcW w:w="222" w:type="dxa"/>
          </w:tcPr>
          <w:p w:rsidR="0094424E" w:rsidRPr="00DD05A8" w:rsidRDefault="0094424E" w:rsidP="00D44968">
            <w:pPr>
              <w:suppressLineNumbers/>
              <w:rPr>
                <w:rFonts w:ascii="Arial" w:hAnsi="Arial" w:cs="FrankRuehl"/>
                <w:sz w:val="26"/>
                <w:szCs w:val="26"/>
                <w:highlight w:val="yellow"/>
              </w:rPr>
            </w:pPr>
          </w:p>
        </w:tc>
      </w:tr>
      <w:tr w:rsidR="004C17EE" w:rsidTr="009332D9">
        <w:trPr>
          <w:jc w:val="center"/>
        </w:trPr>
        <w:tc>
          <w:tcPr>
            <w:tcW w:w="9258" w:type="dxa"/>
            <w:gridSpan w:val="2"/>
          </w:tcPr>
          <w:p w:rsidR="00D70801" w:rsidRDefault="00D70801">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133417" w:rsidRPr="00133417" w:rsidRDefault="00133417" w:rsidP="00133417">
            <w:pPr>
              <w:bidi w:val="0"/>
              <w:jc w:val="center"/>
              <w:rPr>
                <w:rFonts w:ascii="Arial" w:hAnsi="Arial"/>
                <w:noProof w:val="0"/>
                <w:sz w:val="28"/>
                <w:szCs w:val="28"/>
                <w:rtl/>
              </w:rPr>
            </w:pPr>
            <w:r w:rsidRPr="00133417">
              <w:rPr>
                <w:rFonts w:ascii="Arial" w:hAnsi="Arial" w:hint="cs"/>
                <w:noProof w:val="0"/>
                <w:sz w:val="28"/>
                <w:szCs w:val="28"/>
                <w:rtl/>
              </w:rPr>
              <w:t>(נוסח מותר בפרסום)</w:t>
            </w:r>
          </w:p>
          <w:p w:rsidR="00D44968" w:rsidRPr="00D44968" w:rsidRDefault="00D44968" w:rsidP="00D44968">
            <w:pPr>
              <w:bidi w:val="0"/>
              <w:jc w:val="center"/>
              <w:rPr>
                <w:rFonts w:ascii="Arial" w:hAnsi="Arial"/>
                <w:b/>
                <w:bCs/>
                <w:noProof w:val="0"/>
                <w:sz w:val="28"/>
                <w:szCs w:val="28"/>
                <w:u w:val="single"/>
              </w:rPr>
            </w:pPr>
          </w:p>
        </w:tc>
      </w:tr>
    </w:tbl>
    <w:p w:rsidR="009332D9" w:rsidRDefault="009332D9" w:rsidP="009332D9">
      <w:pPr>
        <w:pStyle w:val="af"/>
        <w:numPr>
          <w:ilvl w:val="0"/>
          <w:numId w:val="1"/>
        </w:numPr>
        <w:spacing w:after="0" w:line="360" w:lineRule="auto"/>
        <w:ind w:hanging="636"/>
        <w:jc w:val="both"/>
        <w:rPr>
          <w:rFonts w:ascii="FrankRuehl" w:hAnsi="FrankRuehl" w:cs="FrankRuehl"/>
          <w:sz w:val="28"/>
          <w:szCs w:val="28"/>
        </w:rPr>
      </w:pPr>
      <w:bookmarkStart w:id="1" w:name="NGCSBookmark"/>
      <w:bookmarkEnd w:id="1"/>
      <w:r>
        <w:rPr>
          <w:rFonts w:ascii="FrankRuehl" w:hAnsi="FrankRuehl" w:cs="FrankRuehl"/>
          <w:sz w:val="28"/>
          <w:szCs w:val="28"/>
          <w:rtl/>
        </w:rPr>
        <w:t xml:space="preserve">מונחות לפניי שתי בקשות מטעם הנתבעות: </w:t>
      </w:r>
      <w:r>
        <w:rPr>
          <w:rFonts w:ascii="Miriam" w:hAnsi="Miriam" w:cs="Miriam"/>
          <w:sz w:val="24"/>
          <w:szCs w:val="24"/>
          <w:rtl/>
        </w:rPr>
        <w:t>הראשונה</w:t>
      </w:r>
      <w:r>
        <w:rPr>
          <w:rFonts w:ascii="FrankRuehl" w:hAnsi="FrankRuehl" w:cs="FrankRuehl"/>
          <w:sz w:val="28"/>
          <w:szCs w:val="28"/>
          <w:rtl/>
        </w:rPr>
        <w:t xml:space="preserve">, בקשה לסילוק התביעה על הסף. </w:t>
      </w:r>
      <w:r>
        <w:rPr>
          <w:rFonts w:ascii="Miriam" w:hAnsi="Miriam" w:cs="Miriam"/>
          <w:sz w:val="24"/>
          <w:szCs w:val="24"/>
          <w:rtl/>
        </w:rPr>
        <w:t>השנייה</w:t>
      </w:r>
      <w:r>
        <w:rPr>
          <w:rFonts w:ascii="FrankRuehl" w:hAnsi="FrankRuehl" w:cs="FrankRuehl"/>
          <w:sz w:val="28"/>
          <w:szCs w:val="28"/>
          <w:rtl/>
        </w:rPr>
        <w:t>, בקשה להורות לתובע להפקיד ערובה.</w:t>
      </w:r>
    </w:p>
    <w:p w:rsidR="009332D9" w:rsidRDefault="009332D9" w:rsidP="009332D9">
      <w:pPr>
        <w:spacing w:line="360" w:lineRule="auto"/>
        <w:jc w:val="both"/>
        <w:rPr>
          <w:rFonts w:ascii="FrankRuehl" w:hAnsi="FrankRuehl" w:cs="FrankRuehl"/>
          <w:sz w:val="20"/>
          <w:szCs w:val="20"/>
        </w:rPr>
      </w:pPr>
    </w:p>
    <w:p w:rsidR="009332D9" w:rsidRDefault="009332D9" w:rsidP="009332D9">
      <w:pPr>
        <w:spacing w:line="360" w:lineRule="auto"/>
        <w:jc w:val="both"/>
        <w:rPr>
          <w:rFonts w:ascii="Miriam" w:hAnsi="Miriam" w:cs="Miriam"/>
          <w:u w:val="single"/>
        </w:rPr>
      </w:pPr>
      <w:r>
        <w:rPr>
          <w:rFonts w:ascii="Miriam" w:hAnsi="Miriam" w:cs="Miriam"/>
          <w:u w:val="single"/>
          <w:rtl/>
        </w:rPr>
        <w:t>הרקע בתמצית וטענות הצדדים</w:t>
      </w:r>
    </w:p>
    <w:p w:rsidR="009332D9" w:rsidRDefault="009332D9" w:rsidP="009332D9">
      <w:pPr>
        <w:spacing w:line="360" w:lineRule="auto"/>
        <w:jc w:val="both"/>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ההליך עניינו תביעה כספית על-סך 200,000 ₪. </w:t>
      </w:r>
    </w:p>
    <w:p w:rsidR="009332D9" w:rsidRDefault="009332D9" w:rsidP="009332D9">
      <w:pPr>
        <w:pStyle w:val="af"/>
        <w:spacing w:after="0" w:line="360" w:lineRule="auto"/>
        <w:jc w:val="both"/>
        <w:rPr>
          <w:rFonts w:ascii="FrankRuehl" w:hAnsi="FrankRuehl" w:cs="FrankRuehl"/>
          <w:sz w:val="20"/>
          <w:szCs w:val="20"/>
        </w:rPr>
      </w:pPr>
    </w:p>
    <w:p w:rsidR="009332D9" w:rsidRDefault="009332D9" w:rsidP="00133417">
      <w:pPr>
        <w:pStyle w:val="af"/>
        <w:numPr>
          <w:ilvl w:val="0"/>
          <w:numId w:val="1"/>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התובע, עובד מדינה לשעבר, הגיש תביעה זו נגד הנתבעות, שהן שתי עובדות באותו משרד בו עבד, על רקע תלונות שווא, כך לשיטתו, שהן הגישו נגדו בגין מעשים מיניים שביצע בהן, בין היתר תוך כדי העבודה במשרד. בירור התלונות הביא בסופו של דבר לפיטוריו. אין מחלוקת, כי הנתבעות הגישו נגדו ונגד המדינה תביעה בבית הדין האזורי לעבודה בירושלים (סע"ש </w:t>
      </w:r>
      <w:r w:rsidR="00133417" w:rsidRPr="00133417">
        <w:rPr>
          <w:rFonts w:ascii="FrankRuehl" w:hAnsi="FrankRuehl" w:cs="FrankRuehl" w:hint="cs"/>
          <w:sz w:val="20"/>
          <w:szCs w:val="20"/>
        </w:rPr>
        <w:t>XXXXXX</w:t>
      </w:r>
      <w:r>
        <w:rPr>
          <w:rFonts w:ascii="FrankRuehl" w:hAnsi="FrankRuehl" w:cs="FrankRuehl"/>
          <w:sz w:val="28"/>
          <w:szCs w:val="28"/>
          <w:rtl/>
        </w:rPr>
        <w:t xml:space="preserve"> – להלן: "</w:t>
      </w:r>
      <w:r>
        <w:rPr>
          <w:rFonts w:ascii="Miriam" w:hAnsi="Miriam" w:cs="Miriam"/>
          <w:sz w:val="24"/>
          <w:szCs w:val="24"/>
          <w:rtl/>
        </w:rPr>
        <w:t>ההליך בבית הדין</w:t>
      </w:r>
      <w:r>
        <w:rPr>
          <w:rFonts w:ascii="FrankRuehl" w:hAnsi="FrankRuehl" w:cs="FrankRuehl"/>
          <w:sz w:val="28"/>
          <w:szCs w:val="28"/>
          <w:rtl/>
        </w:rPr>
        <w:t>"), ושם הושגה פשרה בין הצדדים, אשר קיבלה תוקף של פסק דין ביום 24.1.2018 (להלן: "</w:t>
      </w:r>
      <w:r>
        <w:rPr>
          <w:rFonts w:ascii="Miriam" w:hAnsi="Miriam" w:cs="Miriam"/>
          <w:sz w:val="24"/>
          <w:szCs w:val="24"/>
          <w:rtl/>
        </w:rPr>
        <w:t>הפשרה</w:t>
      </w:r>
      <w:r>
        <w:rPr>
          <w:rFonts w:ascii="FrankRuehl" w:hAnsi="FrankRuehl" w:cs="FrankRuehl"/>
          <w:sz w:val="28"/>
          <w:szCs w:val="28"/>
          <w:rtl/>
        </w:rPr>
        <w:t>" או "</w:t>
      </w:r>
      <w:r>
        <w:rPr>
          <w:rFonts w:ascii="Miriam" w:hAnsi="Miriam" w:cs="Miriam"/>
          <w:sz w:val="24"/>
          <w:szCs w:val="24"/>
          <w:rtl/>
        </w:rPr>
        <w:t xml:space="preserve">פסק </w:t>
      </w:r>
      <w:r>
        <w:rPr>
          <w:rFonts w:ascii="Miriam" w:hAnsi="Miriam" w:cs="Miriam"/>
          <w:sz w:val="24"/>
          <w:szCs w:val="24"/>
          <w:rtl/>
        </w:rPr>
        <w:lastRenderedPageBreak/>
        <w:t>הדין</w:t>
      </w:r>
      <w:r>
        <w:rPr>
          <w:rFonts w:ascii="FrankRuehl" w:hAnsi="FrankRuehl" w:cs="FrankRuehl"/>
          <w:sz w:val="28"/>
          <w:szCs w:val="28"/>
          <w:rtl/>
        </w:rPr>
        <w:t>"). לפי המוסכם, "</w:t>
      </w:r>
      <w:r>
        <w:rPr>
          <w:rFonts w:ascii="Miriam" w:hAnsi="Miriam" w:cs="Miriam"/>
          <w:sz w:val="24"/>
          <w:szCs w:val="24"/>
          <w:rtl/>
        </w:rPr>
        <w:t>לצורכי פשרה בלבד ומבלי להודות בעובדות המתוארות בכתב התביעה</w:t>
      </w:r>
      <w:r>
        <w:rPr>
          <w:rFonts w:ascii="FrankRuehl" w:hAnsi="FrankRuehl" w:cs="FrankRuehl"/>
          <w:sz w:val="28"/>
          <w:szCs w:val="28"/>
          <w:rtl/>
        </w:rPr>
        <w:t>" שהוגש לבית הדין, התחייב התובע לשלם לכל אחת מן הנתבעות סך 100,000 ₪, וזאת כדי להביא לסיום המחלוקות ביניהם בהסכמה.</w:t>
      </w:r>
    </w:p>
    <w:p w:rsidR="009332D9" w:rsidRDefault="009332D9" w:rsidP="009332D9">
      <w:pPr>
        <w:pStyle w:val="af"/>
        <w:spacing w:after="0" w:line="360" w:lineRule="auto"/>
        <w:jc w:val="both"/>
        <w:rPr>
          <w:rFonts w:ascii="FrankRuehl" w:hAnsi="FrankRuehl" w:cs="FrankRuehl"/>
          <w:sz w:val="20"/>
          <w:szCs w:val="20"/>
        </w:rPr>
      </w:pPr>
    </w:p>
    <w:p w:rsidR="009332D9" w:rsidRDefault="009332D9" w:rsidP="00133417">
      <w:pPr>
        <w:pStyle w:val="af"/>
        <w:numPr>
          <w:ilvl w:val="0"/>
          <w:numId w:val="1"/>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התובע לא עמד בהתחייבות זו. בד בבד, הוא החל בהליך פשיטת רגל בבית המשפט המחוזי בירושלים (פש"ר </w:t>
      </w:r>
      <w:r w:rsidR="00133417" w:rsidRPr="00133417">
        <w:rPr>
          <w:rFonts w:ascii="FrankRuehl" w:hAnsi="FrankRuehl" w:cs="FrankRuehl" w:hint="cs"/>
          <w:sz w:val="20"/>
          <w:szCs w:val="20"/>
        </w:rPr>
        <w:t>XXXXXX</w:t>
      </w:r>
      <w:r>
        <w:rPr>
          <w:rFonts w:ascii="FrankRuehl" w:hAnsi="FrankRuehl" w:cs="FrankRuehl"/>
          <w:sz w:val="28"/>
          <w:szCs w:val="28"/>
          <w:rtl/>
        </w:rPr>
        <w:t xml:space="preserve"> – להלן: "</w:t>
      </w:r>
      <w:r>
        <w:rPr>
          <w:rFonts w:ascii="Miriam" w:hAnsi="Miriam" w:cs="Miriam"/>
          <w:sz w:val="24"/>
          <w:szCs w:val="24"/>
          <w:rtl/>
        </w:rPr>
        <w:t>ההליך במחוזי</w:t>
      </w:r>
      <w:r>
        <w:rPr>
          <w:rFonts w:ascii="FrankRuehl" w:hAnsi="FrankRuehl" w:cs="FrankRuehl"/>
          <w:sz w:val="28"/>
          <w:szCs w:val="28"/>
          <w:rtl/>
        </w:rPr>
        <w:t>"), ובתוך כך הוצא בעניינו צו הפטר, ואילו הנתבעות שפעלו למימוש פסק הדין, ביקשו להחריג את חובו כלפיהן מצו זה. ביום 17.8.2021 הוחרג החוב מושא הפשרה מצו ההפטר (להלן: "</w:t>
      </w:r>
      <w:r>
        <w:rPr>
          <w:rFonts w:ascii="Miriam" w:hAnsi="Miriam" w:cs="Miriam"/>
          <w:sz w:val="24"/>
          <w:szCs w:val="24"/>
          <w:rtl/>
        </w:rPr>
        <w:t>ההחלטה במחוזי</w:t>
      </w:r>
      <w:r>
        <w:rPr>
          <w:rFonts w:ascii="FrankRuehl" w:hAnsi="FrankRuehl" w:cs="FrankRuehl"/>
          <w:sz w:val="28"/>
          <w:szCs w:val="28"/>
          <w:rtl/>
        </w:rPr>
        <w:t xml:space="preserve">"). על החלטה זו השיג התובע בהליך ערעורי לבית המשפט העליון (רע"א </w:t>
      </w:r>
      <w:r w:rsidR="00133417" w:rsidRPr="00133417">
        <w:rPr>
          <w:rFonts w:ascii="FrankRuehl" w:hAnsi="FrankRuehl" w:cs="FrankRuehl" w:hint="cs"/>
          <w:sz w:val="20"/>
          <w:szCs w:val="20"/>
        </w:rPr>
        <w:t>XXXXXX</w:t>
      </w:r>
      <w:r>
        <w:rPr>
          <w:rFonts w:ascii="FrankRuehl" w:hAnsi="FrankRuehl" w:cs="FrankRuehl"/>
          <w:sz w:val="28"/>
          <w:szCs w:val="28"/>
          <w:rtl/>
        </w:rPr>
        <w:t>), ובקשתו למתן רשות לערער נדחתה ביום 10.7.2022 (להלן: "</w:t>
      </w:r>
      <w:r>
        <w:rPr>
          <w:rFonts w:ascii="Miriam" w:hAnsi="Miriam" w:cs="Miriam"/>
          <w:sz w:val="24"/>
          <w:szCs w:val="24"/>
          <w:rtl/>
        </w:rPr>
        <w:t>ההחלטה בערעור</w:t>
      </w:r>
      <w:r>
        <w:rPr>
          <w:rFonts w:ascii="FrankRuehl" w:hAnsi="FrankRuehl" w:cs="FrankRuehl"/>
          <w:sz w:val="28"/>
          <w:szCs w:val="28"/>
          <w:rtl/>
        </w:rPr>
        <w:t>").</w:t>
      </w:r>
    </w:p>
    <w:p w:rsidR="009332D9" w:rsidRDefault="009332D9" w:rsidP="009332D9">
      <w:pPr>
        <w:pStyle w:val="af"/>
        <w:spacing w:after="0" w:line="360" w:lineRule="auto"/>
        <w:jc w:val="both"/>
        <w:rPr>
          <w:rFonts w:ascii="FrankRuehl" w:hAnsi="FrankRuehl" w:cs="FrankRuehl"/>
          <w:sz w:val="20"/>
          <w:szCs w:val="20"/>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Pr>
      </w:pPr>
      <w:r>
        <w:rPr>
          <w:rFonts w:ascii="FrankRuehl" w:hAnsi="FrankRuehl" w:cs="FrankRuehl"/>
          <w:sz w:val="28"/>
          <w:szCs w:val="28"/>
          <w:rtl/>
        </w:rPr>
        <w:t>בתביעתו, טוען התובע, כי הוא פוטר מעבודתו נוכח עלילת "</w:t>
      </w:r>
      <w:r>
        <w:rPr>
          <w:rFonts w:ascii="Miriam" w:hAnsi="Miriam" w:cs="Miriam"/>
          <w:sz w:val="24"/>
          <w:szCs w:val="24"/>
          <w:rtl/>
        </w:rPr>
        <w:t>בדים</w:t>
      </w:r>
      <w:r>
        <w:rPr>
          <w:rFonts w:ascii="FrankRuehl" w:hAnsi="FrankRuehl" w:cs="FrankRuehl"/>
          <w:sz w:val="28"/>
          <w:szCs w:val="28"/>
          <w:rtl/>
        </w:rPr>
        <w:t>" שרקמו הנתבעות נגדו. לדבריו, בפשרה שהושגה בהליך בבית הדין, התחייבו הנתבעות לחסות על עובדות התביעה שם ועל טענותיהן בדבר המעשים המיניים כביכול שמיוחסים לו. על כן, עת הן חשפו את האמור בהליך במחוזי כדי להחריג את עניינן מצו ההפטר כאמור, הן הפרו את התחייבויותיהן כלפיו בפשרה. הפרה זו פגעה בשמו הטוב וגרמה לו עוגמת נפש רבה, כל זאת לצד עלילת השווא כאמור בדבר פגיעות מיניות כביכול שבוצעו על-ידו. בסעיפים 23 ו-24 בכתב התביעה, כך נכתב:</w:t>
      </w:r>
    </w:p>
    <w:p w:rsidR="009332D9" w:rsidRDefault="009332D9" w:rsidP="009332D9">
      <w:pPr>
        <w:pStyle w:val="af"/>
        <w:spacing w:after="0" w:line="360" w:lineRule="auto"/>
        <w:rPr>
          <w:rFonts w:ascii="FrankRuehl" w:hAnsi="FrankRuehl" w:cs="FrankRuehl"/>
          <w:sz w:val="20"/>
          <w:szCs w:val="20"/>
          <w:rtl/>
        </w:rPr>
      </w:pPr>
    </w:p>
    <w:p w:rsidR="009332D9" w:rsidRDefault="009332D9" w:rsidP="009332D9">
      <w:pPr>
        <w:pStyle w:val="af"/>
        <w:spacing w:after="0" w:line="240" w:lineRule="auto"/>
        <w:ind w:left="1440" w:right="567"/>
        <w:jc w:val="both"/>
        <w:rPr>
          <w:rFonts w:ascii="FrankRuehl" w:hAnsi="FrankRuehl" w:cs="FrankRuehl"/>
          <w:sz w:val="28"/>
          <w:szCs w:val="28"/>
        </w:rPr>
      </w:pPr>
      <w:r>
        <w:rPr>
          <w:rFonts w:ascii="FrankRuehl" w:hAnsi="FrankRuehl" w:cs="FrankRuehl"/>
          <w:sz w:val="28"/>
          <w:szCs w:val="28"/>
          <w:rtl/>
        </w:rPr>
        <w:t>"23. במהלך פשיטת הרגל הפרו הנתבעות את הסכם הפשרה ברגל גסה וחשפו את עובדות התביעה, חרף שהיו תנאי יסוד להסכמת התובע למתן פסק דין.</w:t>
      </w:r>
    </w:p>
    <w:p w:rsidR="009332D9" w:rsidRDefault="009332D9" w:rsidP="009332D9">
      <w:pPr>
        <w:pStyle w:val="af"/>
        <w:spacing w:after="0" w:line="240" w:lineRule="auto"/>
        <w:ind w:left="1440" w:right="567"/>
        <w:jc w:val="both"/>
        <w:rPr>
          <w:rFonts w:ascii="FrankRuehl" w:hAnsi="FrankRuehl" w:cs="FrankRuehl"/>
          <w:sz w:val="28"/>
          <w:szCs w:val="28"/>
          <w:rtl/>
        </w:rPr>
      </w:pPr>
      <w:r>
        <w:rPr>
          <w:rFonts w:ascii="FrankRuehl" w:hAnsi="FrankRuehl" w:cs="FrankRuehl"/>
          <w:sz w:val="28"/>
          <w:szCs w:val="28"/>
          <w:rtl/>
        </w:rPr>
        <w:lastRenderedPageBreak/>
        <w:t>24. בעקבות הפרת ההסכם, שהוא בבחינת חסיון לעובדות עילת התביעה, לא נותר לתובע אלא להגיש תביעה זאת כנגד הנתבעות בגין לשון הרע, פגיעה בשם הטוב, פיטורין הפרת הסכם הפשרה, עוגמת נפש, ועלילת בדים, גרמו לפיטוריו של התובע ממשרד התשתיות"</w:t>
      </w:r>
    </w:p>
    <w:p w:rsidR="009332D9" w:rsidRDefault="009332D9" w:rsidP="009332D9">
      <w:pPr>
        <w:pStyle w:val="af"/>
        <w:spacing w:after="0" w:line="360" w:lineRule="auto"/>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על רקע האמור, הגישו הנתבעות את שתי בקשותיהן דלעיל. ביחס לבקשת הסילוק, הן טוענות, בין השאר ובעיקר, כי דין התביעה להיות מסולקת על הסף, בשל העדר עילה וכן בהתבסס על דוקטרינת מעשה בית-דין. כל טענות התובע בתביעה הנוכחית נדונו והוכרעו וההחלטות שניתנו בעניינו, הן חלוטות. הפשרה קיבלה תוקף של פסק דין וגם הוא חלוט. עוד טוענות הנתבעות, כי דין התביעה להיות מסולקת בשל שיהוי והתיישנות מאחר והיא מתייחסת לאירועים מלפני למעלה משבע שנים לפני הגשתה. הגשת התביעה נועדה להטיל אימה על הנתבעות ומהווה שימוש לרעה בהליכי משפט, שימוש שנועד רק כדי לאפשר לתובע להתחמק מקיום התחייבויותיו לפי הפשרה. </w:t>
      </w:r>
    </w:p>
    <w:p w:rsidR="009332D9" w:rsidRDefault="009332D9" w:rsidP="009332D9">
      <w:pPr>
        <w:pStyle w:val="af"/>
        <w:spacing w:after="0" w:line="360" w:lineRule="auto"/>
        <w:jc w:val="both"/>
        <w:rPr>
          <w:rFonts w:ascii="FrankRuehl" w:hAnsi="FrankRuehl" w:cs="FrankRuehl"/>
          <w:sz w:val="20"/>
          <w:szCs w:val="20"/>
          <w:rtl/>
        </w:rPr>
      </w:pPr>
    </w:p>
    <w:p w:rsidR="009332D9" w:rsidRDefault="009332D9" w:rsidP="009332D9">
      <w:pPr>
        <w:pStyle w:val="af"/>
        <w:spacing w:after="0" w:line="360" w:lineRule="auto"/>
        <w:jc w:val="both"/>
        <w:rPr>
          <w:rFonts w:ascii="FrankRuehl" w:hAnsi="FrankRuehl" w:cs="FrankRuehl"/>
          <w:sz w:val="28"/>
          <w:szCs w:val="28"/>
        </w:rPr>
      </w:pPr>
      <w:r>
        <w:rPr>
          <w:rFonts w:ascii="FrankRuehl" w:hAnsi="FrankRuehl" w:cs="FrankRuehl"/>
          <w:sz w:val="28"/>
          <w:szCs w:val="28"/>
          <w:rtl/>
        </w:rPr>
        <w:t>ביחס לבקשה להפקדת ערובה, טוענות הנתבעות, כי סיכויי התביעה נמוכים ביותר, והסיכון שמא התובע לא יוכל לשאת בהוצאותיהן הוא גבוה, נוכח תיאורו בתביעתו לפיו, מצבו הכלכלי קשה. הערובה נועדה למנוע את קיפוחן ולהבטיח את עלויות הוצאותיהן ככל שהליך ימשיך להתנהל. התובע מתחמק באופן שיטתי מהתחייבויותיו וגם לא שילם את ההוצאות שנפסקו לחובתו בהליכים השונים. מכאן, הן עותרות לחייבו להפקיד ערובה בסכום משמעותי.</w:t>
      </w:r>
    </w:p>
    <w:p w:rsidR="009332D9" w:rsidRDefault="009332D9" w:rsidP="009332D9">
      <w:pPr>
        <w:pStyle w:val="af"/>
        <w:spacing w:after="0" w:line="360" w:lineRule="auto"/>
        <w:jc w:val="both"/>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Pr>
      </w:pPr>
      <w:r>
        <w:rPr>
          <w:rFonts w:ascii="FrankRuehl" w:hAnsi="FrankRuehl" w:cs="FrankRuehl"/>
          <w:sz w:val="28"/>
          <w:szCs w:val="28"/>
          <w:rtl/>
        </w:rPr>
        <w:lastRenderedPageBreak/>
        <w:t>התובע, בתגובתו המתנגדת לשתי הבקשות דלעיל, טוען בין השאר ובעיקר, כי הנתבעות העלו נגדו טענות שווא והובילו לפיטוריו מעבודה. הן הוציאו את דיבתו רעה וגרמו להתדרדרות במצבו הבריאותי, הנפשי והכלכלי, מה שהביא אותו בסופו של דבר, לפשיטת רגל. הוא אמנם הגיע אתן לפשרה, אך זאת לסילוק התביעה נגדו ומבלי להודות באף טענה מבין טענותיהן. חרף התחייבויותיהן שלא לחשוף את הנטען בהליך בבית הדין, הן הפרו זאת, השיגו פסק דין תוך הטעיית בית המשפט, התעמרו בו, הפיצו אודותיו לשון הרע, וכל זאת ללא עילה בדין, ולכן הוא הגיש את התביעה דנן. בסעיף 19 בכתב התביעה, טוען התובע שהוא "</w:t>
      </w:r>
      <w:r>
        <w:rPr>
          <w:rFonts w:ascii="Miriam" w:hAnsi="Miriam" w:cs="Miriam"/>
          <w:sz w:val="24"/>
          <w:szCs w:val="24"/>
          <w:rtl/>
        </w:rPr>
        <w:t>הוטעה</w:t>
      </w:r>
      <w:r>
        <w:rPr>
          <w:rFonts w:ascii="FrankRuehl" w:hAnsi="FrankRuehl" w:cs="FrankRuehl"/>
          <w:sz w:val="28"/>
          <w:szCs w:val="28"/>
          <w:rtl/>
        </w:rPr>
        <w:t>" וגם "</w:t>
      </w:r>
      <w:r>
        <w:rPr>
          <w:rFonts w:ascii="Miriam" w:hAnsi="Miriam" w:cs="Miriam"/>
          <w:sz w:val="24"/>
          <w:szCs w:val="24"/>
          <w:rtl/>
        </w:rPr>
        <w:t>אולץ</w:t>
      </w:r>
      <w:r>
        <w:rPr>
          <w:rFonts w:ascii="FrankRuehl" w:hAnsi="FrankRuehl" w:cs="FrankRuehl"/>
          <w:sz w:val="28"/>
          <w:szCs w:val="28"/>
          <w:rtl/>
        </w:rPr>
        <w:t xml:space="preserve">" להסכים לפשרה. ביחס לבקשת הנתבעות להפקדת ערובה, לדידו של התובע, הן לא הראו מה הן הוצאותיהן ולא הציגו את הסכם שכר טרחה. מכאן, יש לדחות את שתי הבקשות. </w:t>
      </w:r>
    </w:p>
    <w:p w:rsidR="009332D9" w:rsidRDefault="009332D9" w:rsidP="009332D9">
      <w:pPr>
        <w:spacing w:line="360" w:lineRule="auto"/>
        <w:jc w:val="both"/>
        <w:rPr>
          <w:rFonts w:ascii="FrankRuehl" w:hAnsi="FrankRuehl" w:cs="FrankRuehl"/>
          <w:sz w:val="20"/>
          <w:szCs w:val="20"/>
        </w:rPr>
      </w:pPr>
    </w:p>
    <w:p w:rsidR="009332D9" w:rsidRDefault="009332D9" w:rsidP="009332D9">
      <w:pPr>
        <w:spacing w:line="360" w:lineRule="auto"/>
        <w:jc w:val="both"/>
        <w:rPr>
          <w:rFonts w:ascii="Miriam" w:hAnsi="Miriam" w:cs="Miriam"/>
          <w:u w:val="single"/>
          <w:rtl/>
        </w:rPr>
      </w:pPr>
      <w:r>
        <w:rPr>
          <w:rFonts w:ascii="Miriam" w:hAnsi="Miriam" w:cs="Miriam"/>
          <w:u w:val="single"/>
          <w:rtl/>
        </w:rPr>
        <w:t>דיון והכרעה</w:t>
      </w:r>
    </w:p>
    <w:p w:rsidR="009332D9" w:rsidRDefault="009332D9" w:rsidP="009332D9">
      <w:pPr>
        <w:spacing w:line="360" w:lineRule="auto"/>
        <w:jc w:val="both"/>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tl/>
        </w:rPr>
      </w:pPr>
      <w:r>
        <w:rPr>
          <w:rFonts w:ascii="FrankRuehl" w:hAnsi="FrankRuehl" w:cs="FrankRuehl"/>
          <w:sz w:val="28"/>
          <w:szCs w:val="28"/>
          <w:rtl/>
        </w:rPr>
        <w:t>לאחר שנתתי את דעתי לטיעוני הצדדים שהועלו בכתובים, וגם בעל-פה בדיון מיום 1.5.2024, הגעתי לכלל דעה, כי דין הבקשה לסילוק על הסף להתקבל בהתבסס על התמהיל שבין העדר עילה לבין דוקטרינת ההשתק השיפוטי. לנוכח מסקנתי זו, מתייתר הצורך לדון בבקשה להפקדת ערובה. להלן נימוקיי בקצרה.</w:t>
      </w:r>
    </w:p>
    <w:p w:rsidR="009332D9" w:rsidRDefault="009332D9" w:rsidP="009332D9">
      <w:pPr>
        <w:spacing w:line="360" w:lineRule="auto"/>
        <w:jc w:val="both"/>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לעניין טענת ההשתק, דוקטרינת מעשה בית-דין, על שני ענפיה השתק "עילה" והשתק "פלוגתה", מושתתת על עיקרון סופיות הדיון. בעוד השתק עילה מקים מחסום דיוני בפני כל תביעה נוספת באותה עילה שכבר נדונה והוכרעה, השתק פלוגתה (טענה הרלבנטית </w:t>
      </w:r>
      <w:r>
        <w:rPr>
          <w:rFonts w:ascii="FrankRuehl" w:hAnsi="FrankRuehl" w:cs="FrankRuehl"/>
          <w:sz w:val="28"/>
          <w:szCs w:val="28"/>
          <w:rtl/>
        </w:rPr>
        <w:lastRenderedPageBreak/>
        <w:t xml:space="preserve">למקרה לפנינו), מקים מחסום דיוני לבעל-הדין שמבקש לשוב ולהתדיין בשאלה עובדתית אשר כבר נדונה בין בעלי-הדין בהתדיינות קודמת (ע"א 1041/97 </w:t>
      </w:r>
      <w:r>
        <w:rPr>
          <w:rFonts w:ascii="Miriam" w:hAnsi="Miriam" w:cs="Miriam"/>
          <w:sz w:val="24"/>
          <w:szCs w:val="24"/>
          <w:rtl/>
        </w:rPr>
        <w:t>סררו נ' נעלי תומרס בע"מ</w:t>
      </w:r>
      <w:r>
        <w:rPr>
          <w:rFonts w:ascii="FrankRuehl" w:hAnsi="FrankRuehl" w:cs="FrankRuehl"/>
          <w:sz w:val="28"/>
          <w:szCs w:val="28"/>
          <w:rtl/>
        </w:rPr>
        <w:t>, פ"ד נד(1), 642, 650-649 (2000)).</w:t>
      </w:r>
    </w:p>
    <w:p w:rsidR="009332D9" w:rsidRDefault="009332D9" w:rsidP="009332D9">
      <w:pPr>
        <w:pStyle w:val="af"/>
        <w:spacing w:after="0" w:line="360" w:lineRule="auto"/>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עוד לעניין האבחנה לעיל בכלל, וביחס להשתק עילה בפרט, נקבע מקדמת דנא בע"א 246/66 </w:t>
      </w:r>
      <w:r>
        <w:rPr>
          <w:rFonts w:ascii="Miriam" w:hAnsi="Miriam" w:cs="Miriam"/>
          <w:sz w:val="24"/>
          <w:szCs w:val="24"/>
          <w:rtl/>
        </w:rPr>
        <w:t>קלוז'נר נ' שמעוני</w:t>
      </w:r>
      <w:r>
        <w:rPr>
          <w:rFonts w:ascii="FrankRuehl" w:hAnsi="FrankRuehl" w:cs="FrankRuehl"/>
          <w:sz w:val="28"/>
          <w:szCs w:val="28"/>
          <w:rtl/>
        </w:rPr>
        <w:t>, כב(2) 561, 584-583 (1968), כלהלן:</w:t>
      </w:r>
    </w:p>
    <w:p w:rsidR="009332D9" w:rsidRDefault="009332D9" w:rsidP="009332D9">
      <w:pPr>
        <w:pStyle w:val="af"/>
        <w:spacing w:after="0" w:line="360" w:lineRule="auto"/>
        <w:rPr>
          <w:rFonts w:ascii="FrankRuehl" w:hAnsi="FrankRuehl" w:cs="FrankRuehl"/>
          <w:sz w:val="20"/>
          <w:szCs w:val="20"/>
          <w:rtl/>
        </w:rPr>
      </w:pPr>
    </w:p>
    <w:p w:rsidR="009332D9" w:rsidRDefault="009332D9" w:rsidP="009332D9">
      <w:pPr>
        <w:pStyle w:val="af"/>
        <w:spacing w:after="0" w:line="240" w:lineRule="auto"/>
        <w:ind w:left="1440" w:right="567"/>
        <w:jc w:val="both"/>
        <w:rPr>
          <w:rFonts w:ascii="FrankRuehl" w:hAnsi="FrankRuehl" w:cs="FrankRuehl"/>
          <w:sz w:val="28"/>
          <w:szCs w:val="28"/>
        </w:rPr>
      </w:pPr>
      <w:r>
        <w:rPr>
          <w:rFonts w:ascii="FrankRuehl" w:hAnsi="FrankRuehl" w:cs="FrankRuehl"/>
          <w:sz w:val="28"/>
          <w:szCs w:val="28"/>
          <w:rtl/>
        </w:rPr>
        <w:t>"כידוע, תורת ה-</w:t>
      </w:r>
      <w:r>
        <w:rPr>
          <w:rFonts w:ascii="FrankRuehl" w:hAnsi="FrankRuehl" w:cs="FrankRuehl"/>
          <w:sz w:val="20"/>
          <w:szCs w:val="20"/>
        </w:rPr>
        <w:t>RES JUDICATA</w:t>
      </w:r>
      <w:r>
        <w:rPr>
          <w:rFonts w:ascii="FrankRuehl" w:hAnsi="FrankRuehl" w:cs="FrankRuehl"/>
          <w:sz w:val="28"/>
          <w:szCs w:val="28"/>
          <w:rtl/>
        </w:rPr>
        <w:t xml:space="preserve"> </w:t>
      </w:r>
      <w:r>
        <w:rPr>
          <w:rFonts w:ascii="FrankRuehl" w:hAnsi="FrankRuehl" w:cs="FrankRuehl" w:hint="cs"/>
          <w:sz w:val="28"/>
          <w:szCs w:val="28"/>
          <w:rtl/>
        </w:rPr>
        <w:t>של המשפט המקובל מושתתת על שני כללים עיקריים. הכלל האחד הוא: מקום שתביעה נדונה לגופה והוכרעה על-ידי בית-משפט מוסמך, שוב אסור להיזקק לתביעה נוספת בין אותם הצדדים או חליפיהם, אם זו מבוססת על עילה זהה. במקרה כזה, אם במשפט הראשון זכה התובע בדין, כי אז אומרים שעילת תביעתו שם "נבלעה" (</w:t>
      </w:r>
      <w:r>
        <w:rPr>
          <w:rFonts w:ascii="FrankRuehl" w:hAnsi="FrankRuehl" w:cs="FrankRuehl"/>
          <w:sz w:val="20"/>
          <w:szCs w:val="20"/>
        </w:rPr>
        <w:t>MERGED</w:t>
      </w:r>
      <w:r>
        <w:rPr>
          <w:rFonts w:ascii="FrankRuehl" w:hAnsi="FrankRuehl" w:cs="FrankRuehl"/>
          <w:sz w:val="28"/>
          <w:szCs w:val="28"/>
          <w:rtl/>
        </w:rPr>
        <w:t xml:space="preserve">) בפסק-הדין, אשר הכיר בזכותו ובא במקום העילה, שאיננה עוד, בחינת </w:t>
      </w:r>
      <w:r>
        <w:rPr>
          <w:rFonts w:ascii="FrankRuehl" w:hAnsi="FrankRuehl" w:cs="FrankRuehl"/>
          <w:sz w:val="20"/>
          <w:szCs w:val="20"/>
        </w:rPr>
        <w:t>TRANSIT IN REM JUDICATAM</w:t>
      </w:r>
      <w:r>
        <w:rPr>
          <w:rFonts w:ascii="FrankRuehl" w:hAnsi="FrankRuehl" w:cs="FrankRuehl"/>
          <w:sz w:val="28"/>
          <w:szCs w:val="28"/>
          <w:rtl/>
        </w:rPr>
        <w:t>; וכן, אם במשפט הראשון זכה הנתבע בדין, אזי אומרים שקם מחסום (</w:t>
      </w:r>
      <w:r>
        <w:rPr>
          <w:rFonts w:ascii="FrankRuehl" w:hAnsi="FrankRuehl" w:cs="FrankRuehl"/>
          <w:sz w:val="20"/>
          <w:szCs w:val="20"/>
        </w:rPr>
        <w:t>BAR</w:t>
      </w:r>
      <w:r>
        <w:rPr>
          <w:rFonts w:ascii="FrankRuehl" w:hAnsi="FrankRuehl" w:cs="FrankRuehl"/>
          <w:sz w:val="28"/>
          <w:szCs w:val="28"/>
          <w:rtl/>
        </w:rPr>
        <w:t xml:space="preserve">) המשתיק את התובע מלחזור על תביעה שניה המבוססת על אותה עילה, בחינת היותה חסומה או מושתקת </w:t>
      </w:r>
      <w:r>
        <w:rPr>
          <w:rFonts w:ascii="FrankRuehl" w:hAnsi="FrankRuehl" w:cs="FrankRuehl"/>
          <w:sz w:val="28"/>
          <w:szCs w:val="28"/>
          <w:cs/>
        </w:rPr>
        <w:t>‎</w:t>
      </w:r>
      <w:r>
        <w:rPr>
          <w:rFonts w:ascii="FrankRuehl" w:hAnsi="FrankRuehl" w:cs="FrankRuehl"/>
          <w:sz w:val="28"/>
          <w:szCs w:val="28"/>
        </w:rPr>
        <w:t>.</w:t>
      </w:r>
      <w:r>
        <w:rPr>
          <w:rFonts w:ascii="FrankRuehl" w:hAnsi="FrankRuehl" w:cs="FrankRuehl"/>
          <w:sz w:val="20"/>
          <w:szCs w:val="20"/>
        </w:rPr>
        <w:t>PER REM JUDICATAM</w:t>
      </w:r>
      <w:r>
        <w:rPr>
          <w:rFonts w:ascii="FrankRuehl" w:hAnsi="FrankRuehl" w:cs="FrankRuehl"/>
          <w:sz w:val="28"/>
          <w:szCs w:val="28"/>
          <w:rtl/>
        </w:rPr>
        <w:t>...</w:t>
      </w:r>
    </w:p>
    <w:p w:rsidR="009332D9" w:rsidRDefault="009332D9" w:rsidP="009332D9">
      <w:pPr>
        <w:pStyle w:val="af"/>
        <w:spacing w:after="0" w:line="240" w:lineRule="auto"/>
        <w:ind w:left="1440" w:right="567"/>
        <w:jc w:val="both"/>
        <w:rPr>
          <w:rFonts w:ascii="FrankRuehl" w:hAnsi="FrankRuehl" w:cs="FrankRuehl"/>
          <w:sz w:val="28"/>
          <w:szCs w:val="28"/>
          <w:rtl/>
        </w:rPr>
      </w:pPr>
      <w:r>
        <w:rPr>
          <w:rFonts w:ascii="FrankRuehl" w:hAnsi="FrankRuehl" w:cs="FrankRuehl"/>
          <w:sz w:val="28"/>
          <w:szCs w:val="28"/>
          <w:rtl/>
        </w:rPr>
        <w:t xml:space="preserve">הכלל העיקרי האחר הוא: אם במשפט הראשון הועמדה במחלוקת שאלה עובדתית מסויימת, שהיתה חיונית לתוצאה הסופית, והיא הוכרעה שם, בפירוש או מכללא, כי אז יהיו אותם בעלי הדין וחליפיהם מושתקים מלהתדיין לגביה מחדש במשפט השני, חרף אי-הזהות בין העילות של שתי התביעות. העיקר הזה ידוע בשם הכלל של </w:t>
      </w:r>
      <w:r>
        <w:rPr>
          <w:rFonts w:ascii="FrankRuehl" w:hAnsi="FrankRuehl" w:cs="FrankRuehl"/>
          <w:sz w:val="20"/>
          <w:szCs w:val="20"/>
        </w:rPr>
        <w:t>EADEM QUAESTIO</w:t>
      </w:r>
      <w:r>
        <w:rPr>
          <w:rFonts w:ascii="FrankRuehl" w:hAnsi="FrankRuehl" w:cs="FrankRuehl"/>
          <w:sz w:val="28"/>
          <w:szCs w:val="28"/>
          <w:rtl/>
        </w:rPr>
        <w:t xml:space="preserve"> </w:t>
      </w:r>
      <w:r>
        <w:rPr>
          <w:rFonts w:ascii="FrankRuehl" w:hAnsi="FrankRuehl" w:cs="FrankRuehl" w:hint="cs"/>
          <w:sz w:val="28"/>
          <w:szCs w:val="28"/>
          <w:rtl/>
        </w:rPr>
        <w:t>ויש המכנים אותו בשם "השתק עקיף" (</w:t>
      </w:r>
      <w:r>
        <w:rPr>
          <w:rFonts w:ascii="FrankRuehl" w:hAnsi="FrankRuehl" w:cs="FrankRuehl"/>
          <w:sz w:val="20"/>
          <w:szCs w:val="20"/>
        </w:rPr>
        <w:t>COLLATERAL ESTOPPEL</w:t>
      </w:r>
      <w:r>
        <w:rPr>
          <w:rFonts w:ascii="FrankRuehl" w:hAnsi="FrankRuehl" w:cs="FrankRuehl"/>
          <w:sz w:val="28"/>
          <w:szCs w:val="28"/>
          <w:rtl/>
        </w:rPr>
        <w:t>) או "השתק הפלוגתה" (</w:t>
      </w:r>
      <w:r>
        <w:rPr>
          <w:rFonts w:ascii="FrankRuehl" w:hAnsi="FrankRuehl" w:cs="FrankRuehl"/>
          <w:sz w:val="28"/>
          <w:szCs w:val="28"/>
          <w:cs/>
        </w:rPr>
        <w:t>‎</w:t>
      </w:r>
      <w:r>
        <w:rPr>
          <w:rFonts w:ascii="FrankRuehl" w:hAnsi="FrankRuehl" w:cs="FrankRuehl"/>
          <w:sz w:val="28"/>
          <w:szCs w:val="28"/>
        </w:rPr>
        <w:t>.(</w:t>
      </w:r>
      <w:r>
        <w:rPr>
          <w:rFonts w:ascii="FrankRuehl" w:hAnsi="FrankRuehl" w:cs="FrankRuehl"/>
          <w:sz w:val="20"/>
          <w:szCs w:val="20"/>
        </w:rPr>
        <w:t>ISSUE ESTOPPEL</w:t>
      </w:r>
      <w:r>
        <w:rPr>
          <w:rFonts w:ascii="FrankRuehl" w:hAnsi="FrankRuehl" w:cs="FrankRuehl"/>
          <w:sz w:val="28"/>
          <w:szCs w:val="28"/>
          <w:rtl/>
        </w:rPr>
        <w:t>"</w:t>
      </w:r>
    </w:p>
    <w:p w:rsidR="009332D9" w:rsidRDefault="009332D9" w:rsidP="009332D9">
      <w:pPr>
        <w:spacing w:line="360" w:lineRule="auto"/>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tl/>
        </w:rPr>
      </w:pPr>
      <w:r>
        <w:rPr>
          <w:rFonts w:ascii="FrankRuehl" w:hAnsi="FrankRuehl" w:cs="FrankRuehl"/>
          <w:sz w:val="28"/>
          <w:szCs w:val="28"/>
          <w:rtl/>
        </w:rPr>
        <w:t>אשר לעתירת הסילוק, לא אחת נקבע שסילוק תביעה על הסף הוא סעד קיצוני שניתן במקרים "</w:t>
      </w:r>
      <w:r>
        <w:rPr>
          <w:rFonts w:ascii="Miriam" w:hAnsi="Miriam" w:cs="Miriam"/>
          <w:sz w:val="24"/>
          <w:szCs w:val="24"/>
          <w:rtl/>
        </w:rPr>
        <w:t>בהם ברור על פני הדברים כי גם אם יוכח מלוא הנטען בכתב התביעה, אין כל אפשרות, ולו קלושה, כי יעלה בידי התובע לקבל את הסעד לו עתר</w:t>
      </w:r>
      <w:r>
        <w:rPr>
          <w:rFonts w:ascii="FrankRuehl" w:hAnsi="FrankRuehl" w:cs="FrankRuehl"/>
          <w:sz w:val="28"/>
          <w:szCs w:val="28"/>
          <w:rtl/>
        </w:rPr>
        <w:t xml:space="preserve">" (רע"א </w:t>
      </w:r>
      <w:r>
        <w:rPr>
          <w:rFonts w:ascii="FrankRuehl" w:hAnsi="FrankRuehl" w:cs="FrankRuehl"/>
          <w:sz w:val="28"/>
          <w:szCs w:val="28"/>
          <w:rtl/>
        </w:rPr>
        <w:lastRenderedPageBreak/>
        <w:t>5003/23 ‏</w:t>
      </w:r>
      <w:r>
        <w:rPr>
          <w:rFonts w:ascii="FrankRuehl" w:hAnsi="FrankRuehl" w:cs="FrankRuehl"/>
          <w:sz w:val="20"/>
          <w:szCs w:val="20"/>
        </w:rPr>
        <w:t>SUGIMAT S.L</w:t>
      </w:r>
      <w:r>
        <w:rPr>
          <w:rFonts w:ascii="FrankRuehl" w:hAnsi="FrankRuehl" w:cs="FrankRuehl"/>
          <w:sz w:val="20"/>
          <w:szCs w:val="20"/>
          <w:rtl/>
        </w:rPr>
        <w:t>‏</w:t>
      </w:r>
      <w:r>
        <w:rPr>
          <w:rFonts w:ascii="FrankRuehl" w:hAnsi="FrankRuehl" w:cs="FrankRuehl"/>
          <w:sz w:val="28"/>
          <w:szCs w:val="28"/>
          <w:rtl/>
        </w:rPr>
        <w:t xml:space="preserve"> נ' ‏</w:t>
      </w:r>
      <w:r>
        <w:rPr>
          <w:rFonts w:ascii="FrankRuehl" w:hAnsi="FrankRuehl" w:cs="FrankRuehl"/>
          <w:sz w:val="20"/>
          <w:szCs w:val="20"/>
        </w:rPr>
        <w:t>AIG EUROPE LIMITED</w:t>
      </w:r>
      <w:r>
        <w:rPr>
          <w:rFonts w:ascii="FrankRuehl" w:hAnsi="FrankRuehl" w:cs="FrankRuehl"/>
          <w:sz w:val="28"/>
          <w:szCs w:val="28"/>
          <w:rtl/>
        </w:rPr>
        <w:t xml:space="preserve">, פסקה 8 (7.12.2023); בע"מ 6907/23 </w:t>
      </w:r>
      <w:r>
        <w:rPr>
          <w:rFonts w:ascii="Miriam" w:hAnsi="Miriam" w:cs="Miriam"/>
          <w:sz w:val="24"/>
          <w:szCs w:val="24"/>
          <w:rtl/>
        </w:rPr>
        <w:t>פלוני נ' פלוני</w:t>
      </w:r>
      <w:r>
        <w:rPr>
          <w:rFonts w:ascii="FrankRuehl" w:hAnsi="FrankRuehl" w:cs="FrankRuehl"/>
          <w:sz w:val="28"/>
          <w:szCs w:val="28"/>
          <w:rtl/>
        </w:rPr>
        <w:t xml:space="preserve">, פסקה 7 (19.9.2023); ראו גם: רע"א 3910/19 </w:t>
      </w:r>
      <w:r>
        <w:rPr>
          <w:rFonts w:ascii="Miriam" w:hAnsi="Miriam" w:cs="Miriam"/>
          <w:sz w:val="24"/>
          <w:szCs w:val="24"/>
          <w:rtl/>
        </w:rPr>
        <w:t>ש.ח פארק פיתוח וגינון (1986) בע"מ נ' עיריית מעלות</w:t>
      </w:r>
      <w:r>
        <w:rPr>
          <w:rFonts w:ascii="FrankRuehl" w:hAnsi="FrankRuehl" w:cs="FrankRuehl"/>
          <w:sz w:val="28"/>
          <w:szCs w:val="28"/>
          <w:rtl/>
        </w:rPr>
        <w:t xml:space="preserve">, פסקה 5 (10.7.2019)). </w:t>
      </w:r>
    </w:p>
    <w:p w:rsidR="009332D9" w:rsidRDefault="009332D9" w:rsidP="009332D9">
      <w:pPr>
        <w:pStyle w:val="af"/>
        <w:spacing w:after="0" w:line="360" w:lineRule="auto"/>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Pr>
      </w:pPr>
      <w:r>
        <w:rPr>
          <w:rFonts w:ascii="FrankRuehl" w:hAnsi="FrankRuehl" w:cs="FrankRuehl"/>
          <w:sz w:val="28"/>
          <w:szCs w:val="28"/>
          <w:rtl/>
        </w:rPr>
        <w:t>המבחן שנקבע בפסיקה למחיקת תביעה על הסף בשל העדר עילה, הוא מבחן "</w:t>
      </w:r>
      <w:r>
        <w:rPr>
          <w:rFonts w:ascii="Miriam" w:hAnsi="Miriam" w:cs="Miriam"/>
          <w:sz w:val="24"/>
          <w:szCs w:val="24"/>
          <w:rtl/>
        </w:rPr>
        <w:t>סיכויי התביעה</w:t>
      </w:r>
      <w:r>
        <w:rPr>
          <w:rFonts w:ascii="FrankRuehl" w:hAnsi="FrankRuehl" w:cs="FrankRuehl"/>
          <w:sz w:val="28"/>
          <w:szCs w:val="28"/>
          <w:rtl/>
        </w:rPr>
        <w:t xml:space="preserve">" ולפיו, תביעה מגלה עילה, אם בהנחה שיוכיח התובע את עובדות תביעתו, כי אז הוא יהיה זכאי לקבל את הסעד הנתבע על-ידו (בע"מ 7367/22 </w:t>
      </w:r>
      <w:r>
        <w:rPr>
          <w:rFonts w:ascii="Miriam" w:hAnsi="Miriam" w:cs="Miriam"/>
          <w:sz w:val="24"/>
          <w:szCs w:val="24"/>
          <w:rtl/>
        </w:rPr>
        <w:t>פלונית נ' פלוני</w:t>
      </w:r>
      <w:r>
        <w:rPr>
          <w:rFonts w:ascii="FrankRuehl" w:hAnsi="FrankRuehl" w:cs="FrankRuehl"/>
          <w:sz w:val="28"/>
          <w:szCs w:val="28"/>
          <w:rtl/>
        </w:rPr>
        <w:t>, פסקה 15 (26.1.2023)). מכאן, מבחן זה עניינו "</w:t>
      </w:r>
      <w:r>
        <w:rPr>
          <w:rFonts w:ascii="Miriam" w:hAnsi="Miriam" w:cs="Miriam"/>
          <w:sz w:val="24"/>
          <w:szCs w:val="24"/>
          <w:rtl/>
        </w:rPr>
        <w:t>בחינה מקדמית"</w:t>
      </w:r>
      <w:r>
        <w:rPr>
          <w:rFonts w:ascii="FrankRuehl" w:hAnsi="FrankRuehl" w:cs="FrankRuehl"/>
          <w:sz w:val="28"/>
          <w:szCs w:val="28"/>
          <w:rtl/>
        </w:rPr>
        <w:t xml:space="preserve"> של הטענות המשפטיות שמעלה התובע, גם אם מדובר בשאלות משפטיות נכבדות (שם, פסקה 16; ע"א 7547/99 </w:t>
      </w:r>
      <w:r>
        <w:rPr>
          <w:rFonts w:ascii="Miriam" w:hAnsi="Miriam" w:cs="Miriam"/>
          <w:sz w:val="24"/>
          <w:szCs w:val="24"/>
          <w:rtl/>
        </w:rPr>
        <w:t>מכבי שירותי בריאות נ' דובר בע"מ</w:t>
      </w:r>
      <w:r>
        <w:rPr>
          <w:rFonts w:ascii="FrankRuehl" w:hAnsi="FrankRuehl" w:cs="FrankRuehl"/>
          <w:sz w:val="28"/>
          <w:szCs w:val="28"/>
          <w:rtl/>
        </w:rPr>
        <w:t>, פ"ד סה(1) 144, 175-174 (2011)).</w:t>
      </w:r>
    </w:p>
    <w:p w:rsidR="009332D9" w:rsidRDefault="009332D9" w:rsidP="009332D9">
      <w:pPr>
        <w:pStyle w:val="af"/>
        <w:spacing w:after="0" w:line="360" w:lineRule="auto"/>
        <w:jc w:val="both"/>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Pr>
      </w:pPr>
      <w:r>
        <w:rPr>
          <w:rFonts w:ascii="FrankRuehl" w:hAnsi="FrankRuehl" w:cs="FrankRuehl"/>
          <w:sz w:val="28"/>
          <w:szCs w:val="28"/>
          <w:rtl/>
        </w:rPr>
        <w:t>על-יסוד התשתית הנורמטיבית שהוצגה לעיל ותוך נקיטת הזהירות המתבקשת כמתחייב, אִדרש למונח לפניי.</w:t>
      </w:r>
    </w:p>
    <w:p w:rsidR="009332D9" w:rsidRDefault="009332D9" w:rsidP="009332D9">
      <w:pPr>
        <w:spacing w:line="360" w:lineRule="auto"/>
        <w:jc w:val="both"/>
        <w:rPr>
          <w:rFonts w:ascii="FrankRuehl" w:hAnsi="FrankRuehl" w:cs="FrankRuehl"/>
          <w:sz w:val="20"/>
          <w:szCs w:val="20"/>
        </w:rPr>
      </w:pPr>
    </w:p>
    <w:p w:rsidR="009332D9" w:rsidRDefault="009332D9" w:rsidP="009332D9">
      <w:pPr>
        <w:spacing w:line="360" w:lineRule="auto"/>
        <w:jc w:val="both"/>
        <w:rPr>
          <w:rFonts w:ascii="Miriam" w:hAnsi="Miriam" w:cs="Miriam"/>
          <w:u w:val="single"/>
        </w:rPr>
      </w:pPr>
      <w:r>
        <w:rPr>
          <w:rFonts w:ascii="Miriam" w:hAnsi="Miriam" w:cs="Miriam"/>
          <w:u w:val="single"/>
          <w:rtl/>
        </w:rPr>
        <w:t>השתק פלוגתה</w:t>
      </w:r>
    </w:p>
    <w:p w:rsidR="009332D9" w:rsidRDefault="009332D9" w:rsidP="009332D9">
      <w:pPr>
        <w:spacing w:line="360" w:lineRule="auto"/>
        <w:jc w:val="both"/>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tl/>
        </w:rPr>
      </w:pPr>
      <w:r>
        <w:rPr>
          <w:rFonts w:ascii="FrankRuehl" w:hAnsi="FrankRuehl" w:cs="FrankRuehl"/>
          <w:sz w:val="28"/>
          <w:szCs w:val="28"/>
          <w:rtl/>
        </w:rPr>
        <w:t>תחילה, לעניין טענות התובע בדבר המעשים המיניים שביצע בנתבעות. מדובר למעשה בטיעון המרכזי שהניח התובע לפני בית המשפט, זאת על מנת להראות כי למעשה, כל ההליכים שננקטו נגדו על רקע זה, נולדו בהטעיה וכי נעשה לו עוול.</w:t>
      </w:r>
    </w:p>
    <w:p w:rsidR="009332D9" w:rsidRDefault="009332D9" w:rsidP="009332D9">
      <w:pPr>
        <w:pStyle w:val="af"/>
        <w:spacing w:after="0" w:line="360" w:lineRule="auto"/>
        <w:rPr>
          <w:rFonts w:ascii="FrankRuehl" w:hAnsi="FrankRuehl" w:cs="FrankRuehl"/>
          <w:sz w:val="20"/>
          <w:szCs w:val="20"/>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Pr>
      </w:pPr>
      <w:r>
        <w:rPr>
          <w:rFonts w:ascii="FrankRuehl" w:hAnsi="FrankRuehl" w:cs="FrankRuehl"/>
          <w:sz w:val="28"/>
          <w:szCs w:val="28"/>
          <w:rtl/>
        </w:rPr>
        <w:lastRenderedPageBreak/>
        <w:t>מבלי להיכנס לפרטי המעשים שמיוחסים, ואף שלדידו מדובר בעלילת שווא, אך הדבר אינו עולה בקנה אחד – בלשון המעטה – עם שורת ההחלטות השיפוטיות שניתנו בעניינו, וכולן סופיות וחלוטות.</w:t>
      </w:r>
    </w:p>
    <w:p w:rsidR="009332D9" w:rsidRDefault="009332D9" w:rsidP="009332D9">
      <w:pPr>
        <w:pStyle w:val="af"/>
        <w:spacing w:after="0" w:line="360" w:lineRule="auto"/>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Pr>
      </w:pPr>
      <w:r>
        <w:rPr>
          <w:rFonts w:ascii="Miriam" w:hAnsi="Miriam" w:cs="Miriam"/>
          <w:sz w:val="24"/>
          <w:szCs w:val="24"/>
          <w:rtl/>
        </w:rPr>
        <w:t>ראשית</w:t>
      </w:r>
      <w:r>
        <w:rPr>
          <w:rFonts w:ascii="FrankRuehl" w:hAnsi="FrankRuehl" w:cs="FrankRuehl"/>
          <w:sz w:val="28"/>
          <w:szCs w:val="28"/>
          <w:rtl/>
        </w:rPr>
        <w:t xml:space="preserve">, כעולה מצרופות כתב התביעה עצמו, הנאשם הורשע על-יסוד הודאתו בהסדר טיעון במסגרת הליך משמעתי (בד"מ 6.17) שננקט נגדו בבית הדין המשמעתי לעובדי המדינה. במסגרת זו, הוא הודה בביצוע מספר מעשים מגונים כלפי הנתבעות, ובכך הודה כי ביצע מספר עבירות לפי </w:t>
      </w:r>
      <w:r>
        <w:rPr>
          <w:rFonts w:ascii="Miriam" w:hAnsi="Miriam" w:cs="Miriam"/>
          <w:sz w:val="24"/>
          <w:szCs w:val="24"/>
          <w:rtl/>
        </w:rPr>
        <w:t>חוק העונשין, התשל"ז-1977</w:t>
      </w:r>
      <w:r>
        <w:rPr>
          <w:rFonts w:ascii="FrankRuehl" w:hAnsi="FrankRuehl" w:cs="FrankRuehl"/>
          <w:sz w:val="28"/>
          <w:szCs w:val="28"/>
          <w:rtl/>
        </w:rPr>
        <w:t xml:space="preserve">, עבירות לפי </w:t>
      </w:r>
      <w:r>
        <w:rPr>
          <w:rFonts w:ascii="Miriam" w:hAnsi="Miriam" w:cs="Miriam"/>
          <w:sz w:val="24"/>
          <w:szCs w:val="24"/>
          <w:rtl/>
        </w:rPr>
        <w:t>חוק למניעת הטרדה מינית, התשנ"ח-1998</w:t>
      </w:r>
      <w:r>
        <w:rPr>
          <w:rFonts w:ascii="FrankRuehl" w:hAnsi="FrankRuehl" w:cs="FrankRuehl"/>
          <w:sz w:val="28"/>
          <w:szCs w:val="28"/>
          <w:rtl/>
        </w:rPr>
        <w:t xml:space="preserve"> וגם הוראות תקשי"ר </w:t>
      </w:r>
      <w:r>
        <w:rPr>
          <w:rFonts w:ascii="Miriam" w:hAnsi="Miriam" w:cs="Miriam"/>
          <w:sz w:val="24"/>
          <w:szCs w:val="24"/>
          <w:rtl/>
        </w:rPr>
        <w:t>וחוק שירות המדינה (גמלאות), התשכ"ג-1963</w:t>
      </w:r>
      <w:r>
        <w:rPr>
          <w:rFonts w:ascii="FrankRuehl" w:hAnsi="FrankRuehl" w:cs="FrankRuehl"/>
          <w:sz w:val="28"/>
          <w:szCs w:val="28"/>
          <w:rtl/>
        </w:rPr>
        <w:t>. לעניין תיאורי המעשים, המעיין יעיין בהודעה המתוקנת שהוגשה במסגרת הסדר הטיעון האמור</w:t>
      </w:r>
      <w:r>
        <w:rPr>
          <w:rStyle w:val="af0"/>
          <w:rFonts w:ascii="FrankRuehl" w:hAnsi="FrankRuehl" w:cs="FrankRuehl"/>
          <w:sz w:val="28"/>
          <w:szCs w:val="28"/>
          <w:rtl/>
        </w:rPr>
        <w:footnoteReference w:id="1"/>
      </w:r>
      <w:r>
        <w:rPr>
          <w:rFonts w:ascii="FrankRuehl" w:hAnsi="FrankRuehl" w:cs="FrankRuehl"/>
          <w:sz w:val="28"/>
          <w:szCs w:val="28"/>
          <w:rtl/>
        </w:rPr>
        <w:t xml:space="preserve">. יוזכר, כי בין רכיבי הענישה המוסכמים, סוכם שהתובע יפוטר מעבודתו לאלתר. למיותר לציין, כי בית הדין המשמעתי האמור, הוא טריבונל שיפוטי לכל דבר ועניין (בר"ש 4550/15 </w:t>
      </w:r>
      <w:r>
        <w:rPr>
          <w:rFonts w:ascii="Miriam" w:hAnsi="Miriam" w:cs="Miriam"/>
          <w:sz w:val="24"/>
          <w:szCs w:val="24"/>
          <w:rtl/>
        </w:rPr>
        <w:t>שמואלי נ' מדינת ישראל</w:t>
      </w:r>
      <w:r>
        <w:rPr>
          <w:rFonts w:ascii="FrankRuehl" w:hAnsi="FrankRuehl" w:cs="FrankRuehl"/>
          <w:sz w:val="28"/>
          <w:szCs w:val="28"/>
          <w:rtl/>
        </w:rPr>
        <w:t>, פסקה ו' (6.7.2015)).</w:t>
      </w:r>
    </w:p>
    <w:p w:rsidR="009332D9" w:rsidRDefault="009332D9" w:rsidP="009332D9">
      <w:pPr>
        <w:pStyle w:val="af"/>
        <w:spacing w:after="0" w:line="360" w:lineRule="auto"/>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Pr>
      </w:pPr>
      <w:r>
        <w:rPr>
          <w:rFonts w:ascii="Miriam" w:hAnsi="Miriam" w:cs="Miriam"/>
          <w:sz w:val="24"/>
          <w:szCs w:val="24"/>
          <w:rtl/>
        </w:rPr>
        <w:t>שנית</w:t>
      </w:r>
      <w:r>
        <w:rPr>
          <w:rFonts w:ascii="FrankRuehl" w:hAnsi="FrankRuehl" w:cs="FrankRuehl"/>
          <w:sz w:val="28"/>
          <w:szCs w:val="28"/>
          <w:rtl/>
        </w:rPr>
        <w:t>, בהחלטת בית המשפט המחוזי מיום 17.8.2021, שניתנה בהליך פשיטת הרגל אשר ניהל התובע, נקבע בצורה מפורשת, כי חובו הכספי של התובע כלפי הנתבעות, מכוח פסק הדין, "</w:t>
      </w:r>
      <w:r>
        <w:rPr>
          <w:rFonts w:ascii="Miriam" w:hAnsi="Miriam" w:cs="Miriam"/>
          <w:sz w:val="24"/>
          <w:szCs w:val="24"/>
          <w:rtl/>
        </w:rPr>
        <w:t xml:space="preserve">מקורו במעשים מיניים מתועבים, תוך ניצול יחסי מרות; אמנם החייב לא הועמד לדין פלילי, אולם כאמור, הורשע בדין משמעתי וחויב בפסק דין חלוט בגין עוולותיו המיניות; מדובר במעשים </w:t>
      </w:r>
      <w:r>
        <w:rPr>
          <w:rFonts w:ascii="Miriam" w:hAnsi="Miriam" w:cs="Miriam"/>
          <w:sz w:val="24"/>
          <w:szCs w:val="24"/>
          <w:rtl/>
        </w:rPr>
        <w:lastRenderedPageBreak/>
        <w:t>מתועבים ובלתי מוסריים, אשר אינם יכולים לדור בכפיפה אחת עם תקנת הציבור, ובהתאם לכך, אף אינם עומדים בדרישת תום הלב הנדרשת מחייב הפונה להליכי פשיטת רגל</w:t>
      </w:r>
      <w:r>
        <w:rPr>
          <w:rFonts w:ascii="FrankRuehl" w:hAnsi="FrankRuehl" w:cs="FrankRuehl"/>
          <w:sz w:val="28"/>
          <w:szCs w:val="28"/>
          <w:rtl/>
        </w:rPr>
        <w:t>" (סעיף 6).</w:t>
      </w:r>
    </w:p>
    <w:p w:rsidR="009332D9" w:rsidRDefault="009332D9" w:rsidP="009332D9">
      <w:pPr>
        <w:pStyle w:val="af"/>
        <w:spacing w:after="0" w:line="360" w:lineRule="auto"/>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Pr>
      </w:pPr>
      <w:r>
        <w:rPr>
          <w:rFonts w:ascii="Miriam" w:hAnsi="Miriam" w:cs="Miriam"/>
          <w:sz w:val="24"/>
          <w:szCs w:val="24"/>
          <w:rtl/>
        </w:rPr>
        <w:t>שלישית</w:t>
      </w:r>
      <w:r>
        <w:rPr>
          <w:rFonts w:ascii="FrankRuehl" w:hAnsi="FrankRuehl" w:cs="FrankRuehl"/>
          <w:sz w:val="28"/>
          <w:szCs w:val="28"/>
          <w:rtl/>
        </w:rPr>
        <w:t>, גם בהחלטת הערעור, שדחתה כאמור את בקשתו של התובע לערור על החרגת חובו הכספי כלפי הנתבעות מצו ההפטר, קבע בית המשפט העליון ביום 10.7.2022, בזו הלשון (שם בסעיף 9):</w:t>
      </w:r>
    </w:p>
    <w:p w:rsidR="009332D9" w:rsidRDefault="009332D9" w:rsidP="009332D9">
      <w:pPr>
        <w:pStyle w:val="af"/>
        <w:spacing w:after="0" w:line="360" w:lineRule="auto"/>
        <w:jc w:val="both"/>
        <w:rPr>
          <w:rFonts w:ascii="FrankRuehl" w:hAnsi="FrankRuehl" w:cs="FrankRuehl"/>
          <w:sz w:val="20"/>
          <w:szCs w:val="20"/>
          <w:rtl/>
        </w:rPr>
      </w:pPr>
    </w:p>
    <w:p w:rsidR="009332D9" w:rsidRDefault="009332D9" w:rsidP="009332D9">
      <w:pPr>
        <w:pStyle w:val="af"/>
        <w:spacing w:after="0" w:line="240" w:lineRule="auto"/>
        <w:ind w:left="1440" w:right="567"/>
        <w:jc w:val="both"/>
        <w:rPr>
          <w:rFonts w:ascii="FrankRuehl" w:hAnsi="FrankRuehl" w:cs="FrankRuehl"/>
          <w:sz w:val="28"/>
          <w:szCs w:val="28"/>
        </w:rPr>
      </w:pPr>
      <w:r>
        <w:rPr>
          <w:rFonts w:ascii="FrankRuehl" w:hAnsi="FrankRuehl" w:cs="FrankRuehl"/>
          <w:sz w:val="28"/>
          <w:szCs w:val="28"/>
          <w:rtl/>
        </w:rPr>
        <w:t xml:space="preserve">"אני סבורה כי </w:t>
      </w:r>
      <w:r>
        <w:rPr>
          <w:rFonts w:ascii="Miriam" w:hAnsi="Miriam" w:cs="Miriam"/>
          <w:sz w:val="24"/>
          <w:szCs w:val="24"/>
          <w:rtl/>
        </w:rPr>
        <w:t>אין מקום להתערב במסקנתו העובדתית של בית המשפט המחוזי בהקשר זה, מסקנה לפיה המבקש ביצע בנושות מעשים מיניים של ניצול מרות. מסקנה זו נבעה מחומר הראיות שהיה בפני בית המשפט קמא, ובכלל זה מהעובדה שהמבקש הודה במסגרת ההליך המשמעתי שהתנהל נגדו במעשים אלה; ומכך שהמבקש התקשר עם הנושות בהסכם הפשרה במסגרתו הוא הסכים לשלם להן פיצוי</w:t>
      </w:r>
      <w:r>
        <w:rPr>
          <w:rFonts w:ascii="FrankRuehl" w:hAnsi="FrankRuehl" w:cs="FrankRuehl"/>
          <w:sz w:val="28"/>
          <w:szCs w:val="28"/>
          <w:rtl/>
        </w:rPr>
        <w:t>. פיצוי זה שהמבקש לא שילם כל חלק ממנו לאחר ההתקשרות בהסכם הפשרה, הוא כזכור הסכום אותו החריג בית המשפט קמא מהליך פשיטת הרגל. אין מקום לטעמי לקבוע – כפי שהמבקש עותר שבית המשפט יקבע – כי האפשרות להפטר תישלל רק ממי שהורשע בעבירה פלילית בגין תלונות הנושים. נטלי ההוכחה השונים בהליך הפלילי מחד גיסא ובהליך האזרחי מאידך גיסא, אינם מחייבים מסקנה כזו. לאור הנטלים השונים, תיתכן אפשרות בה ייקבע גם ביחס לחייב שלא הורשע במסגרת הליך פלילי, כי הוא אכן ביצע את המעשים שהנושים מייחסים לו.</w:t>
      </w:r>
    </w:p>
    <w:p w:rsidR="009332D9" w:rsidRDefault="009332D9" w:rsidP="009332D9">
      <w:pPr>
        <w:pStyle w:val="af"/>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באופן קונקרטי, מסקנתו של בית המשפט קמא בהחלטה היא מסקנה עובדתית סבירה שאינני רואה לנכון להתערב בה. היא נובעת מההנחה של בית המשפט לפיה השילוב של ההודאה של המבקש בהליך המשמעתי והסכמתו לתשלום סכום כסף נכבד מאוד במסגרת הסכם הפשרה עם הנושות (אף שמדובר היה בהסכם פשרה ללא הודאה בעובדות), די בהם לצורך עמידה בנטל הראיה האזרחי וקביעה כי המבקש אכן ביצע בנושות מעשים מיניים של ניצול מרות"</w:t>
      </w:r>
    </w:p>
    <w:p w:rsidR="009332D9" w:rsidRDefault="009332D9" w:rsidP="009332D9">
      <w:pPr>
        <w:pStyle w:val="af"/>
        <w:spacing w:after="0" w:line="240" w:lineRule="auto"/>
        <w:ind w:left="1440" w:right="567"/>
        <w:jc w:val="right"/>
        <w:rPr>
          <w:rFonts w:ascii="FrankRuehl" w:hAnsi="FrankRuehl" w:cs="FrankRuehl"/>
          <w:sz w:val="28"/>
          <w:szCs w:val="28"/>
          <w:rtl/>
        </w:rPr>
      </w:pPr>
      <w:r>
        <w:rPr>
          <w:rFonts w:ascii="FrankRuehl" w:hAnsi="FrankRuehl" w:cs="FrankRuehl"/>
          <w:sz w:val="28"/>
          <w:szCs w:val="28"/>
          <w:rtl/>
        </w:rPr>
        <w:t>(ההדגשה אינה במקור)</w:t>
      </w:r>
    </w:p>
    <w:p w:rsidR="009332D9" w:rsidRDefault="009332D9" w:rsidP="009332D9">
      <w:pPr>
        <w:spacing w:line="360" w:lineRule="auto"/>
        <w:jc w:val="both"/>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tl/>
        </w:rPr>
      </w:pPr>
      <w:r>
        <w:rPr>
          <w:rFonts w:ascii="FrankRuehl" w:hAnsi="FrankRuehl" w:cs="FrankRuehl"/>
          <w:sz w:val="28"/>
          <w:szCs w:val="28"/>
          <w:rtl/>
        </w:rPr>
        <w:lastRenderedPageBreak/>
        <w:t xml:space="preserve">די בכל האמור, ואף אם נניח בצד את משמעות הסכם הפשרה בבית הדין לעבודה והסכום הנכבד שהתחייב התובע לשלם לנתבעות, הרי בכל הנוגע לטענותיו העובדתיות כלפי הנתבעות בדבר הגשת תלונות שווא או רקימת עלילות בדים מצדן כנגדו, הוא מושתק מלהעלות טענות כאלו נוכח מכלול ההחלטות לעיל, הצֶבֶר שלהן ותוכנן. חלה כאן אפוא, דוקטרינת מעשה בית-דין – השתק פלוגתה (על דוקטרינה זו, ראו להרחבה: רע"א 6143/22 </w:t>
      </w:r>
      <w:r>
        <w:rPr>
          <w:rFonts w:ascii="Miriam" w:hAnsi="Miriam" w:cs="Miriam"/>
          <w:sz w:val="24"/>
          <w:szCs w:val="24"/>
          <w:rtl/>
        </w:rPr>
        <w:t>דיור ב.פ בע"מ נ' מזור</w:t>
      </w:r>
      <w:r>
        <w:rPr>
          <w:rFonts w:ascii="FrankRuehl" w:hAnsi="FrankRuehl" w:cs="FrankRuehl"/>
          <w:sz w:val="28"/>
          <w:szCs w:val="28"/>
          <w:rtl/>
        </w:rPr>
        <w:t xml:space="preserve">, פסקה 21 (23.2.2023); ע"א 642/21 </w:t>
      </w:r>
      <w:r>
        <w:rPr>
          <w:rFonts w:ascii="Miriam" w:hAnsi="Miriam" w:cs="Miriam"/>
          <w:sz w:val="24"/>
          <w:szCs w:val="24"/>
          <w:rtl/>
        </w:rPr>
        <w:t>ורקשטל נ' בנק לאומי לישראל</w:t>
      </w:r>
      <w:r>
        <w:rPr>
          <w:rFonts w:ascii="FrankRuehl" w:hAnsi="FrankRuehl" w:cs="FrankRuehl"/>
          <w:sz w:val="28"/>
          <w:szCs w:val="28"/>
          <w:rtl/>
        </w:rPr>
        <w:t>, פסקה 9 (29.6.2022); ע"א 8273/16</w:t>
      </w:r>
      <w:r>
        <w:rPr>
          <w:rFonts w:ascii="FrankRuehl" w:hAnsi="FrankRuehl" w:cs="FrankRuehl"/>
          <w:sz w:val="24"/>
          <w:szCs w:val="24"/>
          <w:rtl/>
        </w:rPr>
        <w:t xml:space="preserve"> </w:t>
      </w:r>
      <w:r>
        <w:rPr>
          <w:rFonts w:ascii="FrankRuehl" w:hAnsi="FrankRuehl" w:cs="FrankRuehl"/>
          <w:sz w:val="20"/>
          <w:szCs w:val="20"/>
        </w:rPr>
        <w:t>Fundacio Gala-Salvador Dali</w:t>
      </w:r>
      <w:r>
        <w:rPr>
          <w:rFonts w:ascii="FrankRuehl" w:hAnsi="FrankRuehl" w:cs="FrankRuehl"/>
          <w:sz w:val="28"/>
          <w:szCs w:val="28"/>
          <w:rtl/>
        </w:rPr>
        <w:t xml:space="preserve"> </w:t>
      </w:r>
      <w:r>
        <w:rPr>
          <w:rFonts w:ascii="Miriam" w:hAnsi="Miriam" w:cs="Miriam"/>
          <w:sz w:val="24"/>
          <w:szCs w:val="24"/>
          <w:rtl/>
        </w:rPr>
        <w:t>נ' וי. אס מרקטינג (ישראל 2005) בע"מ</w:t>
      </w:r>
      <w:r>
        <w:rPr>
          <w:rFonts w:ascii="FrankRuehl" w:hAnsi="FrankRuehl" w:cs="FrankRuehl"/>
          <w:sz w:val="28"/>
          <w:szCs w:val="28"/>
          <w:rtl/>
        </w:rPr>
        <w:t>, פסקאות 46-40 (11.7.2021)).</w:t>
      </w:r>
    </w:p>
    <w:p w:rsidR="009332D9" w:rsidRDefault="009332D9" w:rsidP="009332D9">
      <w:pPr>
        <w:pStyle w:val="af"/>
        <w:spacing w:after="0" w:line="360" w:lineRule="auto"/>
        <w:jc w:val="both"/>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Pr>
      </w:pPr>
      <w:r>
        <w:rPr>
          <w:rFonts w:ascii="FrankRuehl" w:hAnsi="FrankRuehl" w:cs="FrankRuehl"/>
          <w:sz w:val="28"/>
          <w:szCs w:val="28"/>
          <w:rtl/>
        </w:rPr>
        <w:t>בית המשפט, ולאחר עיון בצרופות כתבי הטיעון מטעם הצדדים, אינו מתעלם מכך שהוגשה תלונה במשטרה נגד התובע, ואף מסתבר כי זו נסגרה. לצד זאת, מסתבר גם שהנתבעות הגישו ערר על החלטה זו, ובמסגרת הפשרה שקיבלה תוקף של פסק דין, הן התחייבו בכפוף לתשלום הפיצוי המוסכם, כי יפנו לפרקליטות ויודיעו ש"</w:t>
      </w:r>
      <w:r>
        <w:rPr>
          <w:rFonts w:ascii="Miriam" w:hAnsi="Miriam" w:cs="Miriam"/>
          <w:sz w:val="24"/>
          <w:szCs w:val="24"/>
          <w:rtl/>
        </w:rPr>
        <w:t>הן חוזרות בהן מהערר</w:t>
      </w:r>
      <w:r>
        <w:rPr>
          <w:rFonts w:ascii="FrankRuehl" w:hAnsi="FrankRuehl" w:cs="FrankRuehl"/>
          <w:sz w:val="28"/>
          <w:szCs w:val="28"/>
          <w:rtl/>
        </w:rPr>
        <w:t xml:space="preserve">" (סעיף 3.3 בפשרה). נתון זה כשלעצמו, יש בו להפריך את טענת התובע בדבר עלילת השווא. </w:t>
      </w:r>
    </w:p>
    <w:p w:rsidR="009332D9" w:rsidRDefault="009332D9" w:rsidP="009332D9">
      <w:pPr>
        <w:pStyle w:val="af"/>
        <w:spacing w:after="0" w:line="360" w:lineRule="auto"/>
        <w:rPr>
          <w:rFonts w:ascii="FrankRuehl" w:hAnsi="FrankRuehl" w:cs="FrankRuehl"/>
          <w:sz w:val="20"/>
          <w:szCs w:val="20"/>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אחרון במיקום אך לא בחשיבות בנושא זה. לעומת הנתבעות שהגישו תצהירים בתמיכה לבקשותיהן, התובע לא תמך את טיעוניו בתגובה בתצהיר מטעמו, לרבות לעניין כפירתו במעשים המיוחסים לו. </w:t>
      </w:r>
    </w:p>
    <w:p w:rsidR="009332D9" w:rsidRDefault="009332D9" w:rsidP="009332D9">
      <w:pPr>
        <w:pStyle w:val="af"/>
        <w:spacing w:after="0" w:line="360" w:lineRule="auto"/>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Pr>
      </w:pPr>
      <w:r>
        <w:rPr>
          <w:rFonts w:ascii="FrankRuehl" w:hAnsi="FrankRuehl" w:cs="FrankRuehl"/>
          <w:sz w:val="28"/>
          <w:szCs w:val="28"/>
          <w:rtl/>
        </w:rPr>
        <w:lastRenderedPageBreak/>
        <w:t>התובע מושתק אפוא מלטעון בעניין המעשים המיניים שיוחסו לו וביססו את התביעה בבית הדין ויתר ההחלטות השיפוטיות בעניינו.</w:t>
      </w:r>
    </w:p>
    <w:p w:rsidR="009332D9" w:rsidRDefault="009332D9" w:rsidP="009332D9">
      <w:pPr>
        <w:spacing w:line="360" w:lineRule="auto"/>
        <w:jc w:val="both"/>
        <w:rPr>
          <w:rFonts w:ascii="FrankRuehl" w:hAnsi="FrankRuehl" w:cs="FrankRuehl"/>
          <w:sz w:val="20"/>
          <w:szCs w:val="20"/>
          <w:rtl/>
        </w:rPr>
      </w:pPr>
    </w:p>
    <w:p w:rsidR="009332D9" w:rsidRDefault="009332D9" w:rsidP="009332D9">
      <w:pPr>
        <w:spacing w:line="360" w:lineRule="auto"/>
        <w:jc w:val="both"/>
        <w:rPr>
          <w:rFonts w:ascii="Miriam" w:hAnsi="Miriam" w:cs="Miriam"/>
          <w:u w:val="single"/>
        </w:rPr>
      </w:pPr>
      <w:r>
        <w:rPr>
          <w:rFonts w:ascii="Miriam" w:hAnsi="Miriam" w:cs="Miriam"/>
          <w:u w:val="single"/>
          <w:rtl/>
        </w:rPr>
        <w:t>העדר עילה</w:t>
      </w:r>
    </w:p>
    <w:p w:rsidR="009332D9" w:rsidRDefault="009332D9" w:rsidP="009332D9">
      <w:pPr>
        <w:spacing w:line="360" w:lineRule="auto"/>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Pr>
      </w:pPr>
      <w:r>
        <w:rPr>
          <w:rFonts w:ascii="FrankRuehl" w:hAnsi="FrankRuehl" w:cs="FrankRuehl"/>
          <w:sz w:val="28"/>
          <w:szCs w:val="28"/>
          <w:rtl/>
        </w:rPr>
        <w:t>התובע טוען בתביעתו, כי בפשרה בבית הדין התחייבו הנתבעות לחַסות את תיאור העובדות שבתביעה שם, ולכן שעה שהן חשפו את האמור בהליך במחוזי, הן הפרו בכך את התחייבויותיהן. להבנתי טיעון זה, ולמרות שהוא טוען גם לפגיעה בשמו הטוב, אך עילת התביעה למעשה, היא עילה חוזית.</w:t>
      </w:r>
    </w:p>
    <w:p w:rsidR="009332D9" w:rsidRDefault="009332D9" w:rsidP="009332D9">
      <w:pPr>
        <w:pStyle w:val="af"/>
        <w:spacing w:after="0" w:line="360" w:lineRule="auto"/>
        <w:jc w:val="both"/>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Pr>
      </w:pPr>
      <w:r>
        <w:rPr>
          <w:rFonts w:ascii="FrankRuehl" w:hAnsi="FrankRuehl" w:cs="FrankRuehl"/>
          <w:sz w:val="28"/>
          <w:szCs w:val="28"/>
          <w:rtl/>
        </w:rPr>
        <w:t>לאחר שנתתי את דעתי לטיעוני הצדדים בנדון, ועם כל הזהירות המתבקשת בבואו של בית המשפט לבחון שאלת סילוק תביעה על הסף בשל העדר עילה, אינני מוצא עילה תחת התביעה דנן.</w:t>
      </w:r>
    </w:p>
    <w:p w:rsidR="009332D9" w:rsidRDefault="009332D9" w:rsidP="009332D9">
      <w:pPr>
        <w:pStyle w:val="af"/>
        <w:spacing w:after="0" w:line="360" w:lineRule="auto"/>
        <w:rPr>
          <w:rFonts w:ascii="FrankRuehl" w:hAnsi="FrankRuehl" w:cs="FrankRuehl"/>
          <w:sz w:val="20"/>
          <w:szCs w:val="20"/>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Pr>
      </w:pPr>
      <w:r>
        <w:rPr>
          <w:rFonts w:ascii="FrankRuehl" w:hAnsi="FrankRuehl" w:cs="FrankRuehl"/>
          <w:sz w:val="28"/>
          <w:szCs w:val="28"/>
          <w:rtl/>
        </w:rPr>
        <w:t>מעיון בהסכם הפשרה שקיבל תוקף של פסק דין, אין בו סעיף סודיות שאוסר על מי מהצדדים לחשוף את תוכנו או את פרטי ההליך המשפטי, לרבות מה נטען במסגרתו. נוסח הפשרה מדבר בעדו והמעיין יעיין בו. בנדון דנן, יש צדק בטענת הנתבעות בסעיף 48 בכתב בקשתן לסילוק התביעה על הסף.</w:t>
      </w:r>
    </w:p>
    <w:p w:rsidR="009332D9" w:rsidRDefault="009332D9" w:rsidP="009332D9">
      <w:pPr>
        <w:pStyle w:val="af"/>
        <w:spacing w:after="0" w:line="360" w:lineRule="auto"/>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Pr>
      </w:pPr>
      <w:r>
        <w:rPr>
          <w:rFonts w:ascii="FrankRuehl" w:hAnsi="FrankRuehl" w:cs="FrankRuehl"/>
          <w:sz w:val="28"/>
          <w:szCs w:val="28"/>
          <w:rtl/>
        </w:rPr>
        <w:lastRenderedPageBreak/>
        <w:t>ככל שכוונת התובע היא לקיומה של התחייבות בעל-פה אשר הוחלפה בין הצדדים ולא בא זכרה בהסדר הכתוב, ראוי היה לתמוך טיעון עובדתי זה בתצהיר מצד התובע במסגרת תגובתו לבקשה לסילוק על הסף. בכל מקרה, לא מצאתי בהחלטות השיפוטיות לעניין ההחרגה מצו ההפטר, אינדיקציה לטיעון בדבר קיומה של התחייבות בעל-פה לסודיות.</w:t>
      </w:r>
    </w:p>
    <w:p w:rsidR="009332D9" w:rsidRDefault="009332D9" w:rsidP="009332D9">
      <w:pPr>
        <w:pStyle w:val="af"/>
        <w:spacing w:after="0" w:line="360" w:lineRule="auto"/>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Pr>
      </w:pPr>
      <w:r>
        <w:rPr>
          <w:rFonts w:ascii="FrankRuehl" w:hAnsi="FrankRuehl" w:cs="FrankRuehl"/>
          <w:sz w:val="28"/>
          <w:szCs w:val="28"/>
          <w:rtl/>
        </w:rPr>
        <w:t>אוסיף. ככל שהתובע נסמך לעניין קיומה של התחייבות כזו, על התיבה הלשונית הכתובה בהסכם, במילים "</w:t>
      </w:r>
      <w:r>
        <w:rPr>
          <w:rFonts w:ascii="Miriam" w:hAnsi="Miriam" w:cs="Miriam"/>
          <w:sz w:val="24"/>
          <w:szCs w:val="24"/>
          <w:rtl/>
        </w:rPr>
        <w:t>מבלי להודות בעובדות המתוארות בכתב התביעה</w:t>
      </w:r>
      <w:r>
        <w:rPr>
          <w:rFonts w:ascii="FrankRuehl" w:hAnsi="FrankRuehl" w:cs="FrankRuehl"/>
          <w:sz w:val="28"/>
          <w:szCs w:val="28"/>
          <w:rtl/>
        </w:rPr>
        <w:t>" (סעיף 2.1 בפשרה), להבנתי והתרשמותי מנוסח זה, שהוא נוסח פשוט ונהיר, לא מדובר בסעיף סודיות, בין במפורש ובין במשתמע.</w:t>
      </w:r>
    </w:p>
    <w:p w:rsidR="009332D9" w:rsidRDefault="009332D9" w:rsidP="009332D9">
      <w:pPr>
        <w:pStyle w:val="af"/>
        <w:spacing w:after="0" w:line="360" w:lineRule="auto"/>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מכל מקום וכידוע, פסק דין שנותן תוקף להסכמות בין הצדדים, הוא ממזג שני פנים: פן הסכמי ופן שיפוטי (רע"פ 7148/98 </w:t>
      </w:r>
      <w:r>
        <w:rPr>
          <w:rFonts w:ascii="Miriam" w:hAnsi="Miriam" w:cs="Miriam"/>
          <w:sz w:val="24"/>
          <w:szCs w:val="24"/>
          <w:rtl/>
        </w:rPr>
        <w:t>עזר נ' יזלזניאק</w:t>
      </w:r>
      <w:r>
        <w:rPr>
          <w:rFonts w:ascii="FrankRuehl" w:hAnsi="FrankRuehl" w:cs="FrankRuehl"/>
          <w:sz w:val="28"/>
          <w:szCs w:val="28"/>
          <w:rtl/>
        </w:rPr>
        <w:t>, פ"ד נג(3) 337 (1999)). כאשר אחד הצדדים להסכם כאמור, טוען להפרה שלו על-ידי הצד שכנגד, כי אז הוא רשאי לעתור לביטול פסק הדין שנתן תוקף, בתביעה עצמאית (רע"א 1837/19 ב</w:t>
      </w:r>
      <w:r>
        <w:rPr>
          <w:rFonts w:ascii="Miriam" w:hAnsi="Miriam" w:cs="Miriam"/>
          <w:sz w:val="24"/>
          <w:szCs w:val="24"/>
          <w:rtl/>
        </w:rPr>
        <w:t>וכריס נ' המשבב עיבוד שבבי (1994) בע"מ</w:t>
      </w:r>
      <w:r>
        <w:rPr>
          <w:rFonts w:ascii="FrankRuehl" w:hAnsi="FrankRuehl" w:cs="FrankRuehl"/>
          <w:sz w:val="28"/>
          <w:szCs w:val="28"/>
          <w:rtl/>
        </w:rPr>
        <w:t xml:space="preserve"> (29.8.2019); רע"א 5112/07 </w:t>
      </w:r>
      <w:r>
        <w:rPr>
          <w:rFonts w:ascii="Miriam" w:hAnsi="Miriam" w:cs="Miriam"/>
          <w:sz w:val="24"/>
          <w:szCs w:val="24"/>
          <w:rtl/>
        </w:rPr>
        <w:t>סיבוני נ' יזרעאלי</w:t>
      </w:r>
      <w:r>
        <w:rPr>
          <w:rFonts w:ascii="FrankRuehl" w:hAnsi="FrankRuehl" w:cs="FrankRuehl"/>
          <w:sz w:val="28"/>
          <w:szCs w:val="28"/>
          <w:rtl/>
        </w:rPr>
        <w:t xml:space="preserve"> (28.1.2008)). תביעה זו יש להגיש לבית המשפט המוסמך, הוא בית המשפט שנתן את פסק הדין (ע"א 4272/91 </w:t>
      </w:r>
      <w:r>
        <w:rPr>
          <w:rFonts w:ascii="Miriam" w:hAnsi="Miriam" w:cs="Miriam"/>
          <w:sz w:val="24"/>
          <w:szCs w:val="24"/>
          <w:rtl/>
        </w:rPr>
        <w:t>ברבי נ' ברבי</w:t>
      </w:r>
      <w:r>
        <w:rPr>
          <w:rFonts w:ascii="FrankRuehl" w:hAnsi="FrankRuehl" w:cs="FrankRuehl"/>
          <w:sz w:val="28"/>
          <w:szCs w:val="28"/>
          <w:rtl/>
        </w:rPr>
        <w:t xml:space="preserve">, פ"ד מח(4) 689 (1994); להרחבה לעניין כלל זה ויישומו, ראו גם החלטתי בת"א (שלום ב"ש) 3453-06-13‏ </w:t>
      </w:r>
      <w:r>
        <w:rPr>
          <w:rFonts w:ascii="Miriam" w:hAnsi="Miriam" w:cs="Miriam"/>
          <w:sz w:val="24"/>
          <w:szCs w:val="24"/>
          <w:rtl/>
        </w:rPr>
        <w:t>נכסי ההסתדרות (נדל"ן) בע"מ נ' כהן</w:t>
      </w:r>
      <w:r>
        <w:rPr>
          <w:rFonts w:ascii="FrankRuehl" w:hAnsi="FrankRuehl" w:cs="FrankRuehl"/>
          <w:sz w:val="28"/>
          <w:szCs w:val="28"/>
          <w:rtl/>
        </w:rPr>
        <w:t xml:space="preserve"> (13.4.2015)).</w:t>
      </w:r>
    </w:p>
    <w:p w:rsidR="009332D9" w:rsidRDefault="009332D9" w:rsidP="009332D9">
      <w:pPr>
        <w:pStyle w:val="af"/>
        <w:spacing w:after="0" w:line="360" w:lineRule="auto"/>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Pr>
      </w:pPr>
      <w:r>
        <w:rPr>
          <w:rFonts w:ascii="FrankRuehl" w:hAnsi="FrankRuehl" w:cs="FrankRuehl"/>
          <w:sz w:val="28"/>
          <w:szCs w:val="28"/>
          <w:rtl/>
        </w:rPr>
        <w:lastRenderedPageBreak/>
        <w:t>אין מחלוקת שהתובע לא הגיש תביעה לביטול פסק הדין שנתן תוקף להסדר הפשרה. נתון זה עולה בחשיבותו גם לנוכח טענתו העובדתית בתביעתו לפיה, הוא "</w:t>
      </w:r>
      <w:r>
        <w:rPr>
          <w:rFonts w:ascii="Miriam" w:hAnsi="Miriam" w:cs="Miriam"/>
          <w:sz w:val="24"/>
          <w:szCs w:val="24"/>
          <w:rtl/>
        </w:rPr>
        <w:t>הוטעה</w:t>
      </w:r>
      <w:r>
        <w:rPr>
          <w:rFonts w:ascii="FrankRuehl" w:hAnsi="FrankRuehl" w:cs="FrankRuehl"/>
          <w:sz w:val="28"/>
          <w:szCs w:val="28"/>
          <w:rtl/>
        </w:rPr>
        <w:t>" לכאורה או "</w:t>
      </w:r>
      <w:r>
        <w:rPr>
          <w:rFonts w:ascii="Miriam" w:hAnsi="Miriam" w:cs="Miriam"/>
          <w:sz w:val="24"/>
          <w:szCs w:val="24"/>
          <w:rtl/>
        </w:rPr>
        <w:t>אולץ</w:t>
      </w:r>
      <w:r>
        <w:rPr>
          <w:rFonts w:ascii="FrankRuehl" w:hAnsi="FrankRuehl" w:cs="FrankRuehl"/>
          <w:sz w:val="28"/>
          <w:szCs w:val="28"/>
          <w:rtl/>
        </w:rPr>
        <w:t xml:space="preserve">" להגיע להסדר כאמור. אוסיף גם, כי קשה להלום קו טיעון זה, בדבר הפרה כביכול מצד הנתבעות של הפשרה (ואינני קובע כי הייתה הפרה כזו), שעה שהוא עצמו טרם מילא את התחייבותו לשלם את מלוא הפיצוי שנפסק. בדיון לפניי נמסר על-ידי בא-כוחו, כי הסכום ששולם לעת עתה קרוב ל-60,000 ₪ בלבד (ש' 34, ע' 19). </w:t>
      </w:r>
    </w:p>
    <w:p w:rsidR="009332D9" w:rsidRDefault="009332D9" w:rsidP="009332D9">
      <w:pPr>
        <w:pStyle w:val="af"/>
        <w:spacing w:after="0" w:line="360" w:lineRule="auto"/>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אם לא די באמור ובבחינת למעלה מן הצורך, אוסיף כי טענת התובע בדבר הפרה כביכול מצד הנתבעות, מעוררת קושי דיוני מזווית נוספת. גם אם נניח שהייתה קיימת התחייבות כזו, אך שעה שהנתבע עצמו בחר לנקוט בהליך הפש"ר, שתוצאתו מטבע הדברים יכולה להביא לאי-קיום התחייבותו כלפי הנתבעות לפי פסק הדין (ואף התנגד לבקשתן להחרגת חובו מצו ההפטר), הרי נוצר כאן לטובת התובע, יתרון דיוני לא מאוזן, שעה שהוא אינו מקיים את פסק הדין מחד גיסא, ואילו הנתבעות תהינה מנועות מלטעון כדבעי ולהטעים מדוע להחריג חוב ספציפי זה מצו ההפטר. מכאן, גם טעם זה מצדיק את סילוק התביעה על הסף, מאחר ונראה שהיא </w:t>
      </w:r>
      <w:r>
        <w:rPr>
          <w:rFonts w:ascii="Miriam" w:hAnsi="Miriam" w:cs="Miriam"/>
          <w:sz w:val="24"/>
          <w:szCs w:val="24"/>
          <w:rtl/>
        </w:rPr>
        <w:t>חסרת תוחלת</w:t>
      </w:r>
      <w:r>
        <w:rPr>
          <w:rFonts w:ascii="FrankRuehl" w:hAnsi="FrankRuehl" w:cs="FrankRuehl"/>
          <w:sz w:val="28"/>
          <w:szCs w:val="28"/>
          <w:rtl/>
        </w:rPr>
        <w:t xml:space="preserve"> (ראו הערתה של כבוד השופטת </w:t>
      </w:r>
      <w:r>
        <w:rPr>
          <w:rFonts w:ascii="Miriam" w:hAnsi="Miriam" w:cs="Miriam"/>
          <w:sz w:val="24"/>
          <w:szCs w:val="24"/>
          <w:rtl/>
        </w:rPr>
        <w:t>ר' רונן</w:t>
      </w:r>
      <w:r>
        <w:rPr>
          <w:rFonts w:ascii="FrankRuehl" w:hAnsi="FrankRuehl" w:cs="FrankRuehl"/>
          <w:sz w:val="28"/>
          <w:szCs w:val="28"/>
          <w:rtl/>
        </w:rPr>
        <w:t xml:space="preserve"> בע"א 4627/22 </w:t>
      </w:r>
      <w:r>
        <w:rPr>
          <w:rFonts w:ascii="Miriam" w:hAnsi="Miriam" w:cs="Miriam"/>
          <w:sz w:val="24"/>
          <w:szCs w:val="24"/>
          <w:rtl/>
        </w:rPr>
        <w:t>מפרקי חברת אגרסקו נ' פורר</w:t>
      </w:r>
      <w:r>
        <w:rPr>
          <w:rFonts w:ascii="FrankRuehl" w:hAnsi="FrankRuehl" w:cs="FrankRuehl"/>
          <w:sz w:val="28"/>
          <w:szCs w:val="28"/>
          <w:rtl/>
        </w:rPr>
        <w:t>, פסקה 66 (7.6.2023)).</w:t>
      </w:r>
    </w:p>
    <w:p w:rsidR="009332D9" w:rsidRDefault="009332D9" w:rsidP="009332D9">
      <w:pPr>
        <w:pStyle w:val="af"/>
        <w:spacing w:after="0" w:line="360" w:lineRule="auto"/>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לאחר כל זאת, מקובלת עליי טענת הנתבעות לפיה התביעה נעדרת עילה. </w:t>
      </w:r>
    </w:p>
    <w:p w:rsidR="009332D9" w:rsidRDefault="009332D9" w:rsidP="009332D9">
      <w:pPr>
        <w:pStyle w:val="af"/>
        <w:spacing w:after="0" w:line="360" w:lineRule="auto"/>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0"/>
          <w:szCs w:val="20"/>
        </w:rPr>
      </w:pPr>
      <w:r>
        <w:rPr>
          <w:rFonts w:ascii="FrankRuehl" w:hAnsi="FrankRuehl" w:cs="FrankRuehl"/>
          <w:sz w:val="28"/>
          <w:szCs w:val="28"/>
          <w:rtl/>
        </w:rPr>
        <w:t xml:space="preserve">אשר לטענת הנתבעות בדבר שימוש לרעה מצד התובע בהליך המשפטי, לנוכח מסקנותיי לעיל, אינני נדרש לקבוע ממצא סופי בנדון. לצד זאת אעיר, כי לאור ההשתלשלות לעיל לעניין מעשי התובע ואי-קיום התחייבותו לפי פסק הדין, ובמיוחד בשים לב לכך שסך </w:t>
      </w:r>
      <w:r>
        <w:rPr>
          <w:rFonts w:ascii="FrankRuehl" w:hAnsi="FrankRuehl" w:cs="FrankRuehl"/>
          <w:sz w:val="28"/>
          <w:szCs w:val="28"/>
          <w:rtl/>
        </w:rPr>
        <w:lastRenderedPageBreak/>
        <w:t xml:space="preserve">התביעה שהגיש </w:t>
      </w:r>
      <w:r>
        <w:rPr>
          <w:rFonts w:ascii="Miriam" w:hAnsi="Miriam" w:cs="Miriam"/>
          <w:sz w:val="24"/>
          <w:szCs w:val="24"/>
          <w:rtl/>
        </w:rPr>
        <w:t>זהה</w:t>
      </w:r>
      <w:r>
        <w:rPr>
          <w:rFonts w:ascii="FrankRuehl" w:hAnsi="FrankRuehl" w:cs="FrankRuehl"/>
          <w:sz w:val="28"/>
          <w:szCs w:val="28"/>
          <w:rtl/>
        </w:rPr>
        <w:t xml:space="preserve"> לחלוטין לסכום הפשרה (200,000 ₪), הרי בנסיבות אלו, לא ניתן לקבוע כי אין יסוד לטענת הנתבעות לפיה, עצם הגשת תביעה זו על-ידי התובע נועדה לנסות להתחמק מקיום התחייבותו לפי פסק הדין ולהטיל מורא עליהן. כך שגם טעם זה, אף אם אין בו די כשלעצמו כדי להצדיק את סילוק התביעה על הסף, אך הוא מוסיף משקל ליתר הטעמים לעיל. עוד בהקשר זה, אפנה להחלטה בערעור (פסקה 11), ולקביעת בית המשפט ביחס לשאלת תום לבו של התובע בעצם נקיטת הליך הפש"ר כאשר עיקר חובו היה כלפי התובעות.</w:t>
      </w:r>
    </w:p>
    <w:p w:rsidR="009332D9" w:rsidRDefault="009332D9" w:rsidP="009332D9">
      <w:pPr>
        <w:pStyle w:val="af"/>
        <w:rPr>
          <w:rFonts w:ascii="FrankRuehl" w:hAnsi="FrankRuehl" w:cs="FrankRuehl"/>
          <w:sz w:val="20"/>
          <w:szCs w:val="20"/>
        </w:rPr>
      </w:pPr>
    </w:p>
    <w:p w:rsidR="009332D9" w:rsidRDefault="009332D9" w:rsidP="009332D9">
      <w:pPr>
        <w:pStyle w:val="af"/>
        <w:spacing w:after="0" w:line="240" w:lineRule="auto"/>
        <w:ind w:left="1440" w:right="709"/>
        <w:jc w:val="both"/>
        <w:rPr>
          <w:rFonts w:ascii="FrankRuehl" w:hAnsi="FrankRuehl" w:cs="FrankRuehl"/>
          <w:sz w:val="28"/>
          <w:szCs w:val="28"/>
          <w:rtl/>
        </w:rPr>
      </w:pPr>
      <w:r>
        <w:rPr>
          <w:rFonts w:ascii="FrankRuehl" w:hAnsi="FrankRuehl" w:cs="FrankRuehl"/>
          <w:sz w:val="28"/>
          <w:szCs w:val="28"/>
          <w:rtl/>
        </w:rPr>
        <w:t xml:space="preserve">"במקרה דנן, החוב של המבקש כלפי הנושות הוא החוב העיקרי שלו, חוב המהווה כאמור 88% מכלל חובותיו. חרף האמור, המבקש התקשר בהסכם הפשרה עם הנושות, כשלגישתו שלו – לא הייתה אפשרות שהוא יעמוד בתשלום מכוחו. כאמור, המבקש אף לא עשה ניסיון לשלם ולו חלק מהחוב האמור לאחר ההתקשרות בהסכם הפשרה. בנסיבות אלה, </w:t>
      </w:r>
      <w:r>
        <w:rPr>
          <w:rFonts w:ascii="Miriam" w:hAnsi="Miriam" w:cs="Miriam"/>
          <w:sz w:val="24"/>
          <w:szCs w:val="24"/>
          <w:rtl/>
        </w:rPr>
        <w:t>מסקנתו של בית המשפט קמא ביחס לחוסר תום לבו בהתייחס להליכי פשיטת הרגל והשימוש בהם, היא מסקנה שאין מקום להתערב גם בה</w:t>
      </w:r>
      <w:r>
        <w:rPr>
          <w:rFonts w:ascii="FrankRuehl" w:hAnsi="FrankRuehl" w:cs="FrankRuehl"/>
          <w:sz w:val="28"/>
          <w:szCs w:val="28"/>
          <w:rtl/>
        </w:rPr>
        <w:t>."</w:t>
      </w:r>
    </w:p>
    <w:p w:rsidR="009332D9" w:rsidRDefault="009332D9" w:rsidP="009332D9">
      <w:pPr>
        <w:pStyle w:val="af"/>
        <w:spacing w:after="0" w:line="240" w:lineRule="auto"/>
        <w:ind w:left="1440" w:right="709"/>
        <w:jc w:val="right"/>
        <w:rPr>
          <w:rFonts w:ascii="FrankRuehl" w:hAnsi="FrankRuehl" w:cs="FrankRuehl"/>
          <w:sz w:val="28"/>
          <w:szCs w:val="28"/>
          <w:rtl/>
        </w:rPr>
      </w:pPr>
      <w:r>
        <w:rPr>
          <w:rFonts w:ascii="FrankRuehl" w:hAnsi="FrankRuehl" w:cs="FrankRuehl"/>
          <w:sz w:val="28"/>
          <w:szCs w:val="28"/>
          <w:rtl/>
        </w:rPr>
        <w:t>(ההדגשה אינה במקור)</w:t>
      </w:r>
    </w:p>
    <w:p w:rsidR="009332D9" w:rsidRDefault="009332D9" w:rsidP="009332D9">
      <w:pPr>
        <w:spacing w:line="360" w:lineRule="auto"/>
        <w:jc w:val="both"/>
        <w:rPr>
          <w:rFonts w:ascii="FrankRuehl" w:hAnsi="FrankRuehl" w:cs="FrankRuehl"/>
          <w:sz w:val="20"/>
          <w:szCs w:val="20"/>
          <w:rtl/>
        </w:rPr>
      </w:pPr>
    </w:p>
    <w:p w:rsidR="009332D9" w:rsidRDefault="009332D9" w:rsidP="009332D9">
      <w:pPr>
        <w:spacing w:line="360" w:lineRule="auto"/>
        <w:jc w:val="both"/>
        <w:rPr>
          <w:rFonts w:ascii="Miriam" w:hAnsi="Miriam" w:cs="Miriam"/>
          <w:u w:val="single"/>
        </w:rPr>
      </w:pPr>
      <w:r>
        <w:rPr>
          <w:rFonts w:ascii="Miriam" w:hAnsi="Miriam" w:cs="Miriam"/>
          <w:u w:val="single"/>
          <w:rtl/>
        </w:rPr>
        <w:t>בין מחיקה לדחייה ושאלת ההוצאות</w:t>
      </w:r>
    </w:p>
    <w:p w:rsidR="009332D9" w:rsidRDefault="009332D9" w:rsidP="009332D9">
      <w:pPr>
        <w:pStyle w:val="af"/>
        <w:spacing w:after="0" w:line="360" w:lineRule="auto"/>
        <w:jc w:val="both"/>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Pr>
      </w:pPr>
      <w:r>
        <w:rPr>
          <w:rFonts w:ascii="FrankRuehl" w:hAnsi="FrankRuehl" w:cs="FrankRuehl"/>
          <w:sz w:val="28"/>
          <w:szCs w:val="28"/>
          <w:rtl/>
        </w:rPr>
        <w:t>לפי תקנה 41(א)(1)</w:t>
      </w:r>
      <w:r>
        <w:rPr>
          <w:rFonts w:ascii="Miriam" w:hAnsi="Miriam" w:cs="Miriam"/>
          <w:sz w:val="24"/>
          <w:szCs w:val="24"/>
          <w:rtl/>
        </w:rPr>
        <w:t xml:space="preserve"> בתקנות סדר הדין האזרחי, התשע"ט-2018</w:t>
      </w:r>
      <w:r>
        <w:rPr>
          <w:rFonts w:ascii="FrankRuehl" w:hAnsi="FrankRuehl" w:cs="FrankRuehl"/>
          <w:sz w:val="28"/>
          <w:szCs w:val="28"/>
          <w:rtl/>
        </w:rPr>
        <w:t>, העדר עילה מביא למחיקת ההליך. ואולם, לפי תקנה 43, מעשה בית-דין מביא לדחייתו. לנוכח התמהיל של כל האמור לעיל, לרבות האמור בסעיף 30, אני מורה על דחיית התביעה.</w:t>
      </w:r>
    </w:p>
    <w:p w:rsidR="009332D9" w:rsidRDefault="009332D9" w:rsidP="009332D9">
      <w:pPr>
        <w:pStyle w:val="af"/>
        <w:spacing w:after="0" w:line="360" w:lineRule="auto"/>
        <w:jc w:val="both"/>
        <w:rPr>
          <w:rFonts w:ascii="FrankRuehl" w:hAnsi="FrankRuehl" w:cs="FrankRuehl"/>
          <w:sz w:val="20"/>
          <w:szCs w:val="20"/>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Pr>
      </w:pPr>
      <w:r>
        <w:rPr>
          <w:rFonts w:ascii="FrankRuehl" w:hAnsi="FrankRuehl" w:cs="FrankRuehl"/>
          <w:sz w:val="28"/>
          <w:szCs w:val="28"/>
          <w:rtl/>
        </w:rPr>
        <w:lastRenderedPageBreak/>
        <w:t xml:space="preserve">כאמור, התובע לעומת הנתבעות, לא הגיש תצהיר לתמיכה בתגובתו לבקשות הנתבעות. לבקשתו, התקיים דיון פרונטאלי אליו התייצבו הצדדים והנתבעות נחקרו על תצהיריהן. בהינתן זאת ולאור תוצאת ההליך, זאת גם בשים לב לשלב שבו הוא הסתיים, ובהתחשב גם בהוראת תקנה 152 בתקנות סדר הדין האזרחי, מורה על חיוב התובע בהוצאות הנתבעות ובשכר טרחת עורך-דין בצירוף מע"מ כדין, בסך </w:t>
      </w:r>
      <w:r>
        <w:rPr>
          <w:rFonts w:ascii="FrankRuehl" w:hAnsi="FrankRuehl" w:cs="FrankRuehl"/>
          <w:sz w:val="28"/>
          <w:szCs w:val="28"/>
          <w:u w:val="single"/>
          <w:rtl/>
        </w:rPr>
        <w:t>כולל</w:t>
      </w:r>
      <w:r>
        <w:rPr>
          <w:rFonts w:ascii="FrankRuehl" w:hAnsi="FrankRuehl" w:cs="FrankRuehl"/>
          <w:sz w:val="28"/>
          <w:szCs w:val="28"/>
          <w:rtl/>
        </w:rPr>
        <w:t xml:space="preserve"> 9,000 ₪.  </w:t>
      </w:r>
    </w:p>
    <w:p w:rsidR="009332D9" w:rsidRDefault="009332D9" w:rsidP="009332D9">
      <w:pPr>
        <w:spacing w:line="360" w:lineRule="auto"/>
        <w:jc w:val="both"/>
        <w:rPr>
          <w:rFonts w:ascii="FrankRuehl" w:hAnsi="FrankRuehl" w:cs="FrankRuehl"/>
          <w:sz w:val="20"/>
          <w:szCs w:val="20"/>
          <w:rtl/>
        </w:rPr>
      </w:pPr>
    </w:p>
    <w:p w:rsidR="009332D9" w:rsidRDefault="009332D9" w:rsidP="009332D9">
      <w:pPr>
        <w:spacing w:line="360" w:lineRule="auto"/>
        <w:jc w:val="both"/>
        <w:rPr>
          <w:rFonts w:ascii="FrankRuehl" w:hAnsi="FrankRuehl" w:cs="FrankRuehl"/>
          <w:sz w:val="28"/>
          <w:szCs w:val="28"/>
        </w:rPr>
      </w:pPr>
      <w:r>
        <w:rPr>
          <w:rFonts w:ascii="Miriam" w:hAnsi="Miriam" w:cs="Miriam"/>
          <w:u w:val="single"/>
          <w:rtl/>
        </w:rPr>
        <w:t>תוצאה</w:t>
      </w:r>
    </w:p>
    <w:p w:rsidR="009332D9" w:rsidRDefault="009332D9" w:rsidP="009332D9">
      <w:pPr>
        <w:spacing w:line="360" w:lineRule="auto"/>
        <w:jc w:val="both"/>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tl/>
        </w:rPr>
      </w:pPr>
      <w:r>
        <w:rPr>
          <w:rFonts w:ascii="FrankRuehl" w:hAnsi="FrankRuehl" w:cs="FrankRuehl"/>
          <w:sz w:val="28"/>
          <w:szCs w:val="28"/>
          <w:rtl/>
        </w:rPr>
        <w:t>הבקשה לסילוק על הסף מתקבלת והתביעה נדחית. הבקשה להפקדת ערובה, נמחקת.</w:t>
      </w:r>
    </w:p>
    <w:p w:rsidR="009332D9" w:rsidRDefault="009332D9" w:rsidP="009332D9">
      <w:pPr>
        <w:pStyle w:val="af"/>
        <w:spacing w:after="0" w:line="360" w:lineRule="auto"/>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התובע ישלם לנתבעות סך 9,000 ₪ </w:t>
      </w:r>
      <w:r>
        <w:rPr>
          <w:rFonts w:ascii="FrankRuehl" w:hAnsi="FrankRuehl" w:cs="FrankRuehl"/>
          <w:sz w:val="28"/>
          <w:szCs w:val="28"/>
          <w:u w:val="single"/>
          <w:rtl/>
        </w:rPr>
        <w:t>תוך 30 יום</w:t>
      </w:r>
      <w:r>
        <w:rPr>
          <w:rFonts w:ascii="FrankRuehl" w:hAnsi="FrankRuehl" w:cs="FrankRuehl"/>
          <w:sz w:val="28"/>
          <w:szCs w:val="28"/>
          <w:rtl/>
        </w:rPr>
        <w:t>, שאם לא כן, סכום זה יישא הפרשי הצמדה וריבית ממועד מתן ההחלטה ועד מועד ביצוע התשלום בפועל.</w:t>
      </w:r>
    </w:p>
    <w:p w:rsidR="009332D9" w:rsidRDefault="009332D9" w:rsidP="009332D9">
      <w:pPr>
        <w:pStyle w:val="af"/>
        <w:spacing w:after="0" w:line="360" w:lineRule="auto"/>
        <w:rPr>
          <w:rFonts w:ascii="FrankRuehl" w:hAnsi="FrankRuehl" w:cs="FrankRuehl"/>
          <w:sz w:val="20"/>
          <w:szCs w:val="20"/>
          <w:rtl/>
        </w:rPr>
      </w:pPr>
    </w:p>
    <w:p w:rsidR="009332D9" w:rsidRDefault="009332D9" w:rsidP="009332D9">
      <w:pPr>
        <w:pStyle w:val="af"/>
        <w:numPr>
          <w:ilvl w:val="0"/>
          <w:numId w:val="1"/>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לאור ההיבטים המשפטיים שבהחלטה, בכוונת בית המשפט להורות על פרסומה ללא ציון שמות הצדדים בכותרת. ככל שמי מהצדדים מתנגד לכך, יגיש את נימוקיו </w:t>
      </w:r>
      <w:r>
        <w:rPr>
          <w:rFonts w:ascii="FrankRuehl" w:hAnsi="FrankRuehl" w:cs="FrankRuehl"/>
          <w:sz w:val="28"/>
          <w:szCs w:val="28"/>
          <w:u w:val="single"/>
          <w:rtl/>
        </w:rPr>
        <w:t>עד יום 3.9.2024</w:t>
      </w:r>
      <w:r>
        <w:rPr>
          <w:rFonts w:ascii="FrankRuehl" w:hAnsi="FrankRuehl" w:cs="FrankRuehl"/>
          <w:sz w:val="28"/>
          <w:szCs w:val="28"/>
          <w:rtl/>
        </w:rPr>
        <w:t>.</w:t>
      </w:r>
    </w:p>
    <w:p w:rsidR="009332D9" w:rsidRDefault="009332D9" w:rsidP="009332D9">
      <w:pPr>
        <w:spacing w:line="360" w:lineRule="auto"/>
        <w:jc w:val="both"/>
        <w:rPr>
          <w:rFonts w:ascii="FrankRuehl" w:hAnsi="FrankRuehl" w:cs="FrankRuehl"/>
          <w:sz w:val="20"/>
          <w:szCs w:val="20"/>
          <w:rtl/>
        </w:rPr>
      </w:pPr>
    </w:p>
    <w:p w:rsidR="009332D9" w:rsidRDefault="009332D9" w:rsidP="009332D9">
      <w:pPr>
        <w:spacing w:line="360" w:lineRule="auto"/>
        <w:jc w:val="both"/>
        <w:rPr>
          <w:rFonts w:ascii="FrankRuehl" w:hAnsi="FrankRuehl" w:cs="FrankRuehl"/>
          <w:sz w:val="28"/>
          <w:szCs w:val="28"/>
        </w:rPr>
      </w:pPr>
      <w:r>
        <w:rPr>
          <w:rFonts w:ascii="FrankRuehl" w:hAnsi="FrankRuehl" w:cs="FrankRuehl"/>
          <w:sz w:val="28"/>
          <w:szCs w:val="28"/>
          <w:rtl/>
        </w:rPr>
        <w:t>זכות ערעור כקבוע בדין.</w:t>
      </w:r>
    </w:p>
    <w:p w:rsidR="009332D9" w:rsidRDefault="009332D9" w:rsidP="009332D9">
      <w:pPr>
        <w:spacing w:line="360" w:lineRule="auto"/>
        <w:jc w:val="both"/>
        <w:rPr>
          <w:rFonts w:ascii="FrankRuehl" w:hAnsi="FrankRuehl" w:cs="FrankRuehl"/>
          <w:sz w:val="20"/>
          <w:szCs w:val="20"/>
          <w:rtl/>
        </w:rPr>
      </w:pPr>
    </w:p>
    <w:p w:rsidR="009332D9" w:rsidRDefault="009332D9" w:rsidP="009332D9">
      <w:pPr>
        <w:bidi w:val="0"/>
        <w:jc w:val="right"/>
        <w:rPr>
          <w:rFonts w:cs="Times New Roman"/>
          <w:noProof w:val="0"/>
          <w:rtl/>
        </w:rPr>
      </w:pPr>
      <w:r>
        <w:rPr>
          <w:rFonts w:ascii="FrankRuehl" w:hAnsi="FrankRuehl" w:cs="FrankRuehl"/>
          <w:sz w:val="28"/>
          <w:szCs w:val="28"/>
          <w:u w:val="single"/>
          <w:rtl/>
        </w:rPr>
        <w:t>המזכירות – להודיע לצדדים בהתאם</w:t>
      </w:r>
      <w:r>
        <w:rPr>
          <w:rFonts w:ascii="FrankRuehl" w:hAnsi="FrankRuehl" w:cs="FrankRuehl"/>
          <w:sz w:val="28"/>
          <w:szCs w:val="28"/>
          <w:rtl/>
        </w:rPr>
        <w:t xml:space="preserve">. </w:t>
      </w:r>
    </w:p>
    <w:p w:rsidR="00694556" w:rsidRDefault="00694556">
      <w:pPr>
        <w:spacing w:line="360" w:lineRule="auto"/>
        <w:jc w:val="both"/>
        <w:rPr>
          <w:rFonts w:ascii="Arial" w:hAnsi="Arial"/>
          <w:noProof w:val="0"/>
          <w:rtl/>
        </w:rPr>
      </w:pPr>
    </w:p>
    <w:p w:rsidR="009332D9" w:rsidRPr="00C770E3" w:rsidRDefault="009332D9">
      <w:pPr>
        <w:spacing w:line="360" w:lineRule="auto"/>
        <w:jc w:val="both"/>
        <w:rPr>
          <w:rFonts w:ascii="Arial" w:hAnsi="Arial"/>
          <w:noProof w:val="0"/>
          <w:rtl/>
        </w:rPr>
      </w:pPr>
      <w:r w:rsidRPr="009332D9">
        <w:rPr>
          <w:rFonts w:ascii="Arial" w:hAnsi="Arial" w:hint="cs"/>
          <w:b/>
          <w:bCs/>
          <w:noProof w:val="0"/>
          <w:rtl/>
        </w:rPr>
        <w:t>הערה</w:t>
      </w:r>
      <w:r>
        <w:rPr>
          <w:rFonts w:ascii="Arial" w:hAnsi="Arial" w:hint="cs"/>
          <w:noProof w:val="0"/>
          <w:rtl/>
        </w:rPr>
        <w:t>: פסק הדין ניתן ביום 22.8.2024.</w:t>
      </w:r>
    </w:p>
    <w:p w:rsidR="009332D9" w:rsidRDefault="009332D9" w:rsidP="00860102">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ח'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11 ספטמבר 2024</w:t>
          </w:r>
        </w:sdtContent>
      </w:sdt>
      <w:r w:rsidR="00005C8B">
        <w:rPr>
          <w:rFonts w:ascii="Arial" w:hAnsi="Arial"/>
          <w:noProof w:val="0"/>
          <w:rtl/>
        </w:rPr>
        <w:t>, בהעדר הצדדים.</w:t>
      </w:r>
    </w:p>
    <w:p w:rsidR="00C43648" w:rsidRDefault="003462D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61711137"/>
        </w:sdtPr>
        <w:sdtEndPr/>
        <w:sdtContent>
          <w:r w:rsidR="00794097">
            <w:drawing>
              <wp:inline distT="0" distB="0" distL="0" distR="0" wp14:editId="50D07946">
                <wp:extent cx="1685925" cy="1390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85925" cy="13906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11"/>
      <w:footerReference w:type="default" r:id="rId12"/>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2D8" w:rsidRDefault="003462D8">
      <w:r>
        <w:separator/>
      </w:r>
    </w:p>
  </w:endnote>
  <w:endnote w:type="continuationSeparator" w:id="0">
    <w:p w:rsidR="003462D8" w:rsidRDefault="00346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E55F39">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E55F39">
      <w:rPr>
        <w:rStyle w:val="ab"/>
        <w:rFonts w:ascii="David" w:hAnsi="David"/>
        <w:rtl/>
      </w:rPr>
      <w:t>1</w:t>
    </w:r>
    <w:r w:rsidRPr="00424313">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2D8" w:rsidRDefault="003462D8">
      <w:r>
        <w:separator/>
      </w:r>
    </w:p>
  </w:footnote>
  <w:footnote w:type="continuationSeparator" w:id="0">
    <w:p w:rsidR="003462D8" w:rsidRDefault="003462D8">
      <w:r>
        <w:continuationSeparator/>
      </w:r>
    </w:p>
  </w:footnote>
  <w:footnote w:id="1">
    <w:p w:rsidR="009332D9" w:rsidRDefault="009332D9" w:rsidP="009332D9">
      <w:pPr>
        <w:pStyle w:val="ad"/>
        <w:spacing w:line="360" w:lineRule="auto"/>
        <w:jc w:val="both"/>
        <w:rPr>
          <w:sz w:val="22"/>
          <w:szCs w:val="22"/>
        </w:rPr>
      </w:pPr>
      <w:r>
        <w:rPr>
          <w:rStyle w:val="af0"/>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עמודים 18-15 בצרופות כתב התביעה ועמודים 50-47 בצרופות הבקשה לסילוק על הסף.</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462D8" w:rsidP="0078400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42295-06-23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784003">
                <w:rPr>
                  <w:rFonts w:hint="cs"/>
                  <w:b/>
                  <w:bCs/>
                  <w:noProof w:val="0"/>
                  <w:sz w:val="26"/>
                  <w:szCs w:val="26"/>
                  <w:rtl/>
                </w:rPr>
                <w:t xml:space="preserve">פלוני </w:t>
              </w:r>
              <w:r w:rsidR="00424313">
                <w:rPr>
                  <w:b/>
                  <w:bCs/>
                  <w:noProof w:val="0"/>
                  <w:sz w:val="26"/>
                  <w:szCs w:val="26"/>
                  <w:rtl/>
                </w:rPr>
                <w:t xml:space="preserve">נ' </w:t>
              </w:r>
              <w:r w:rsidR="00784003">
                <w:rPr>
                  <w:rFonts w:hint="cs"/>
                  <w:b/>
                  <w:bCs/>
                  <w:noProof w:val="0"/>
                  <w:sz w:val="26"/>
                  <w:szCs w:val="26"/>
                  <w:rtl/>
                </w:rPr>
                <w:t>אלמונית</w:t>
              </w:r>
              <w:r w:rsidR="00424313">
                <w:rPr>
                  <w:b/>
                  <w:bCs/>
                  <w:noProof w:val="0"/>
                  <w:sz w:val="26"/>
                  <w:szCs w:val="26"/>
                  <w:rtl/>
                </w:rPr>
                <w:t xml:space="preserve">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9332D9">
          <w:pPr>
            <w:rPr>
              <w:sz w:val="20"/>
              <w:szCs w:val="20"/>
              <w:rtl/>
            </w:rPr>
          </w:pPr>
          <w:r>
            <w:rPr>
              <w:rFonts w:hint="cs"/>
              <w:rtl/>
            </w:rPr>
            <w:t xml:space="preserve">                           </w:t>
          </w:r>
          <w:r>
            <w:rPr>
              <w:rFonts w:hint="cs"/>
              <w:sz w:val="20"/>
              <w:szCs w:val="20"/>
              <w:rtl/>
            </w:rPr>
            <w:t xml:space="preserve">                                       </w:t>
          </w:r>
        </w:p>
      </w:tc>
    </w:tr>
  </w:tbl>
  <w:p w:rsidR="00694556" w:rsidRDefault="00694556" w:rsidP="009332D9">
    <w:pPr>
      <w:pStyle w:val="a3"/>
      <w:rPr>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759BE"/>
    <w:multiLevelType w:val="hybridMultilevel"/>
    <w:tmpl w:val="81A06904"/>
    <w:lvl w:ilvl="0" w:tplc="A030E0D4">
      <w:start w:val="1"/>
      <w:numFmt w:val="decimal"/>
      <w:lvlText w:val="%1)"/>
      <w:lvlJc w:val="left"/>
      <w:pPr>
        <w:ind w:left="720" w:hanging="360"/>
      </w:pPr>
    </w:lvl>
    <w:lvl w:ilvl="1" w:tplc="AAAE6544">
      <w:start w:val="1"/>
      <w:numFmt w:val="lowerLetter"/>
      <w:lvlText w:val="%2."/>
      <w:lvlJc w:val="left"/>
      <w:pPr>
        <w:ind w:left="1440" w:hanging="360"/>
      </w:pPr>
    </w:lvl>
    <w:lvl w:ilvl="2" w:tplc="38A435F0">
      <w:start w:val="1"/>
      <w:numFmt w:val="lowerRoman"/>
      <w:lvlText w:val="%3."/>
      <w:lvlJc w:val="right"/>
      <w:pPr>
        <w:ind w:left="2160" w:hanging="180"/>
      </w:pPr>
    </w:lvl>
    <w:lvl w:ilvl="3" w:tplc="B5283026">
      <w:start w:val="1"/>
      <w:numFmt w:val="decimal"/>
      <w:lvlText w:val="%4."/>
      <w:lvlJc w:val="left"/>
      <w:pPr>
        <w:ind w:left="2880" w:hanging="360"/>
      </w:pPr>
    </w:lvl>
    <w:lvl w:ilvl="4" w:tplc="8B26A0D6">
      <w:start w:val="1"/>
      <w:numFmt w:val="lowerLetter"/>
      <w:lvlText w:val="%5."/>
      <w:lvlJc w:val="left"/>
      <w:pPr>
        <w:ind w:left="3600" w:hanging="360"/>
      </w:pPr>
    </w:lvl>
    <w:lvl w:ilvl="5" w:tplc="BEA2DB92">
      <w:start w:val="1"/>
      <w:numFmt w:val="lowerRoman"/>
      <w:lvlText w:val="%6."/>
      <w:lvlJc w:val="right"/>
      <w:pPr>
        <w:ind w:left="4320" w:hanging="180"/>
      </w:pPr>
    </w:lvl>
    <w:lvl w:ilvl="6" w:tplc="EC203672">
      <w:start w:val="1"/>
      <w:numFmt w:val="decimal"/>
      <w:lvlText w:val="%7."/>
      <w:lvlJc w:val="left"/>
      <w:pPr>
        <w:ind w:left="5040" w:hanging="360"/>
      </w:pPr>
    </w:lvl>
    <w:lvl w:ilvl="7" w:tplc="143A571A">
      <w:start w:val="1"/>
      <w:numFmt w:val="lowerLetter"/>
      <w:lvlText w:val="%8."/>
      <w:lvlJc w:val="left"/>
      <w:pPr>
        <w:ind w:left="5760" w:hanging="360"/>
      </w:pPr>
    </w:lvl>
    <w:lvl w:ilvl="8" w:tplc="0B90F3E2">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35353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353539&amp;lt;/CaseID&amp;gt;_x000d__x000a_        &amp;lt;CaseMonth&amp;gt;6&amp;lt;/CaseMonth&amp;gt;_x000d__x000a_        &amp;lt;CaseYear&amp;gt;2023&amp;lt;/CaseYear&amp;gt;_x000d__x000a_        &amp;lt;CaseNumber&amp;gt;42295&amp;lt;/CaseNumber&amp;gt;_x000d__x000a_        &amp;lt;NumeratorGroupID&amp;gt;1&amp;lt;/NumeratorGroupID&amp;gt;_x000d__x000a_        &amp;lt;CaseName&amp;gt;קצב(אסור בפרסום) נ&amp;#39; איטח(אסור בפרסום) ואח&amp;#39;&amp;lt;/CaseName&amp;gt;_x000d__x000a_        &amp;lt;CourtID&amp;gt;30&amp;lt;/CourtID&amp;gt;_x000d__x000a_        &amp;lt;CaseTypeID&amp;gt;1&amp;lt;/CaseTypeID&amp;gt;_x000d__x000a_        &amp;lt;CaseInterestID&amp;gt;41&amp;lt;/CaseInterestID&amp;gt;_x000d__x000a_        &amp;lt;CaseJudgeName&amp;gt;מוחמד חאג&amp;#39; יחיא&amp;lt;/CaseJudgeName&amp;gt;_x000d__x000a_        &amp;lt;ProcedureID&amp;gt;1&amp;lt;/ProcedureID&amp;gt;_x000d__x000a_        &amp;lt;CaseStatusID&amp;gt;2&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42295-06-23&amp;lt;/CaseDisplayIdentifier&amp;gt;_x000d__x000a_        &amp;lt;CaseTypeDesc&amp;gt;ת&amp;quot;א&amp;lt;/CaseTypeDesc&amp;gt;_x000d__x000a_        &amp;lt;CourtDesc&amp;gt;שלום ירושלים&amp;lt;/CourtDesc&amp;gt;_x000d__x000a_        &amp;lt;CaseStageDesc&amp;gt;תיק אלקטרוני&amp;lt;/CaseStageDesc&amp;gt;_x000d__x000a_        &amp;lt;IsUnpaidFeeExist&amp;gt;false&amp;lt;/IsUnpaidFeeExist&amp;gt;_x000d__x000a_        &amp;lt;CaseOpenDate&amp;gt;2023-06-18T12:55:00+03:00&amp;lt;/CaseOpenDate&amp;gt;_x000d__x000a_        &amp;lt;PleaTypeID&amp;gt;4&amp;lt;/PleaTypeID&amp;gt;_x000d__x000a_        &amp;lt;CourtLevelID&amp;gt;1&amp;lt;/CourtLevelID&amp;gt;_x000d__x000a_        &amp;lt;CourtLevelCaseTypeInterestID&amp;gt;9&amp;lt;/CourtLevelCaseTypeInterestID&amp;gt;_x000d__x000a_        &amp;lt;CaseJudgeFirstName&amp;gt;מוחמד&amp;lt;/CaseJudgeFirstName&amp;gt;_x000d__x000a_        &amp;lt;CaseJudgeLastName&amp;gt;חאג&amp;#39; יחיא&amp;lt;/CaseJudgeLastName&amp;gt;_x000d__x000a_        &amp;lt;JudicalPersonID&amp;gt;036186385@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353539&amp;lt;/CaseID&amp;gt;_x000d__x000a_        &amp;lt;CaseMonth&amp;gt;6&amp;lt;/CaseMonth&amp;gt;_x000d__x000a_        &amp;lt;CaseYear&amp;gt;2023&amp;lt;/CaseYear&amp;gt;_x000d__x000a_        &amp;lt;CaseNumber&amp;gt;42295&amp;lt;/CaseNumber&amp;gt;_x000d__x000a_        &amp;lt;NumeratorGroupID&amp;gt;1&amp;lt;/NumeratorGroupID&amp;gt;_x000d__x000a_        &amp;lt;CaseName&amp;gt;קצב(אסור בפרסום) נ&amp;#39; איטח(אסור בפרסום) ואח&amp;#39;&amp;lt;/CaseName&amp;gt;_x000d__x000a_        &amp;lt;CourtID&amp;gt;30&amp;lt;/CourtID&amp;gt;_x000d__x000a_        &amp;lt;CaseTypeID&amp;gt;1&amp;lt;/CaseTypeID&amp;gt;_x000d__x000a_        &amp;lt;CaseInterestID&amp;gt;41&amp;lt;/CaseInterestID&amp;gt;_x000d__x000a_        &amp;lt;CaseJudgeName&amp;gt;מוחמד חאג&amp;#39; יחיא&amp;lt;/CaseJudgeName&amp;gt;_x000d__x000a_        &amp;lt;ProcedureID&amp;gt;1&amp;lt;/ProcedureID&amp;gt;_x000d__x000a_        &amp;lt;CaseStatusID&amp;gt;2&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42295-06-23&amp;lt;/CaseDisplayIdentifier&amp;gt;_x000d__x000a_        &amp;lt;CaseTypeDesc&amp;gt;ת&amp;quot;א&amp;lt;/CaseTypeDesc&amp;gt;_x000d__x000a_        &amp;lt;CourtDesc&amp;gt;שלום ירושלים&amp;lt;/CourtDesc&amp;gt;_x000d__x000a_        &amp;lt;CaseStageDesc&amp;gt;תיק אלקטרוני&amp;lt;/CaseStageDesc&amp;gt;_x000d__x000a_        &amp;lt;CaseOpenDate&amp;gt;2023-06-18T12:55:00+03:00&amp;lt;/CaseOpenDate&amp;gt;_x000d__x000a_        &amp;lt;PleaTypeID&amp;gt;4&amp;lt;/PleaTypeID&amp;gt;_x000d__x000a_        &amp;lt;CourtLevelID&amp;gt;1&amp;lt;/CourtLevelID&amp;gt;_x000d__x000a_        &amp;lt;CourtLevelCaseTypeInterestID&amp;gt;9&amp;lt;/CourtLevelCaseTypeInterestID&amp;gt;_x000d__x000a_        &amp;lt;CaseJudgeFirstName&amp;gt;מוחמד&amp;lt;/CaseJudgeFirstName&amp;gt;_x000d__x000a_        &amp;lt;CaseJudgeLastName&amp;gt;חאג&amp;#39; יחיא&amp;lt;/CaseJudgeLastName&amp;gt;_x000d__x000a_        &amp;lt;JudicalPersonID&amp;gt;036186385@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816333&amp;lt;/DecisionID&amp;gt;_x000d__x000a_        &amp;lt;DecisionName&amp;gt;פסק דין  שניתנה ע&amp;quot;י  מוחמד חאג&amp;#39; יחיא&amp;lt;/DecisionName&amp;gt;_x000d__x000a_        &amp;lt;DecisionStatusID&amp;gt;1&amp;lt;/DecisionStatusID&amp;gt;_x000d__x000a_        &amp;lt;DecisionStatusChangeDate&amp;gt;2024-09-10T15:03:38.713+03:00&amp;lt;/DecisionStatusChangeDate&amp;gt;_x000d__x000a_        &amp;lt;DecisionSignatureDate&amp;gt;2024-09-10T14:55:22.753+03:00&amp;lt;/DecisionSignatureDate&amp;gt;_x000d__x000a_        &amp;lt;DecisionSignatureUserID&amp;gt;036186385@GOV.IL&amp;lt;/DecisionSignatureUserID&amp;gt;_x000d__x000a_        &amp;lt;DecisionCreateDate&amp;gt;2024-09-10T14:58:42.29+03:00&amp;lt;/DecisionCreateDate&amp;gt;_x000d__x000a_        &amp;lt;DecisionChangeDate&amp;gt;2024-09-10T15:03:38.88+03:00&amp;lt;/DecisionChangeDate&amp;gt;_x000d__x000a_        &amp;lt;DecisionChangeUserID&amp;gt;03618638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474866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18638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186385@GOV.IL&amp;lt;/DecisionCreationUserID&amp;gt;_x000d__x000a_        &amp;lt;DecisionDisplayName&amp;gt;פסק דין  שניתנה ע&amp;quot;י  מוחמד חאג&amp;#39; יחיא&amp;lt;/DecisionDisplayName&amp;gt;_x000d__x000a_        &amp;lt;IsScanned&amp;gt;false&amp;lt;/IsScanned&amp;gt;_x000d__x000a_        &amp;lt;DecisionSignatureUserName&amp;gt;מוחמד חאג&amp;#39; יחיא&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7&amp;lt;/DecisionNumberInCase&amp;gt;_x000d__x000a_      &amp;lt;/dt_Decision&amp;gt;_x000d__x000a_      &amp;lt;dt_DecisionCase diffgr:id=&amp;quot;dt_DecisionCase1&amp;quot; msdata:rowOrder=&amp;quot;0&amp;quot;&amp;gt;_x000d__x000a_        &amp;lt;DecisionID&amp;gt;154816333&amp;lt;/DecisionID&amp;gt;_x000d__x000a_        &amp;lt;CaseID&amp;gt;80353539&amp;lt;/CaseID&amp;gt;_x000d__x000a_        &amp;lt;IsOriginal&amp;gt;true&amp;lt;/IsOriginal&amp;gt;_x000d__x000a_        &amp;lt;IsDeleted&amp;gt;false&amp;lt;/IsDeleted&amp;gt;_x000d__x000a_        &amp;lt;CaseName&amp;gt;קצב(אסור בפרסום) נ&amp;#39; איטח(אסור בפרסום) ואח&amp;#39;&amp;lt;/CaseName&amp;gt;_x000d__x000a_        &amp;lt;CaseDisplayIdentifier&amp;gt;42295-06-23 ת&amp;quot;א&amp;lt;/CaseDisplayIdentifier&amp;gt;_x000d__x000a_      &amp;lt;/dt_DecisionCase&amp;gt;_x000d__x000a_    &amp;lt;/DecisionDS&amp;gt;_x000d__x000a_  &amp;lt;/diffgr:diffgram&amp;gt;_x000d__x000a_&amp;lt;/DecisionDS&amp;gt;"/>
    <w:docVar w:name="DecisionID" w:val="154816333"/>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97799"/>
    <w:rsid w:val="000B344B"/>
    <w:rsid w:val="000C3B0F"/>
    <w:rsid w:val="000C3B60"/>
    <w:rsid w:val="000E0DD2"/>
    <w:rsid w:val="000E3AF1"/>
    <w:rsid w:val="000F0BC8"/>
    <w:rsid w:val="000F0DD6"/>
    <w:rsid w:val="00107E6D"/>
    <w:rsid w:val="0011194C"/>
    <w:rsid w:val="0011424C"/>
    <w:rsid w:val="001173C6"/>
    <w:rsid w:val="00122A9F"/>
    <w:rsid w:val="00133417"/>
    <w:rsid w:val="001367BC"/>
    <w:rsid w:val="00144D2A"/>
    <w:rsid w:val="0014653E"/>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462D8"/>
    <w:rsid w:val="00362612"/>
    <w:rsid w:val="0036743F"/>
    <w:rsid w:val="003715DD"/>
    <w:rsid w:val="003823E0"/>
    <w:rsid w:val="003A4521"/>
    <w:rsid w:val="003D1C8C"/>
    <w:rsid w:val="003E38C7"/>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F4F09"/>
    <w:rsid w:val="00603F73"/>
    <w:rsid w:val="0061431B"/>
    <w:rsid w:val="00622BAA"/>
    <w:rsid w:val="006306CF"/>
    <w:rsid w:val="00644E9A"/>
    <w:rsid w:val="00671BD5"/>
    <w:rsid w:val="006805C1"/>
    <w:rsid w:val="00686C21"/>
    <w:rsid w:val="006871CB"/>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84003"/>
    <w:rsid w:val="007845CA"/>
    <w:rsid w:val="00794097"/>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332D9"/>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70801"/>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55F39"/>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footnote text"/>
    <w:basedOn w:val="a"/>
    <w:link w:val="ae"/>
    <w:uiPriority w:val="99"/>
    <w:semiHidden/>
    <w:unhideWhenUsed/>
    <w:rsid w:val="009332D9"/>
    <w:rPr>
      <w:rFonts w:asciiTheme="minorHAnsi" w:eastAsiaTheme="minorHAnsi" w:hAnsiTheme="minorHAnsi" w:cstheme="minorBidi"/>
      <w:noProof w:val="0"/>
      <w:kern w:val="2"/>
      <w:sz w:val="20"/>
      <w:szCs w:val="20"/>
      <w14:ligatures w14:val="standardContextual"/>
    </w:rPr>
  </w:style>
  <w:style w:type="character" w:customStyle="1" w:styleId="ae">
    <w:name w:val="טקסט הערת שוליים תו"/>
    <w:basedOn w:val="a0"/>
    <w:link w:val="ad"/>
    <w:uiPriority w:val="99"/>
    <w:semiHidden/>
    <w:rsid w:val="009332D9"/>
    <w:rPr>
      <w:rFonts w:asciiTheme="minorHAnsi" w:eastAsiaTheme="minorHAnsi" w:hAnsiTheme="minorHAnsi" w:cstheme="minorBidi"/>
      <w:kern w:val="2"/>
      <w14:ligatures w14:val="standardContextual"/>
    </w:rPr>
  </w:style>
  <w:style w:type="paragraph" w:styleId="af">
    <w:name w:val="List Paragraph"/>
    <w:basedOn w:val="a"/>
    <w:uiPriority w:val="34"/>
    <w:qFormat/>
    <w:rsid w:val="009332D9"/>
    <w:pPr>
      <w:spacing w:after="160" w:line="254" w:lineRule="auto"/>
      <w:ind w:left="720"/>
      <w:contextualSpacing/>
    </w:pPr>
    <w:rPr>
      <w:rFonts w:asciiTheme="minorHAnsi" w:eastAsiaTheme="minorHAnsi" w:hAnsiTheme="minorHAnsi" w:cstheme="minorBidi"/>
      <w:noProof w:val="0"/>
      <w:kern w:val="2"/>
      <w:sz w:val="22"/>
      <w:szCs w:val="22"/>
      <w14:ligatures w14:val="standardContextual"/>
    </w:rPr>
  </w:style>
  <w:style w:type="character" w:styleId="af0">
    <w:name w:val="footnote reference"/>
    <w:basedOn w:val="a0"/>
    <w:uiPriority w:val="99"/>
    <w:semiHidden/>
    <w:unhideWhenUsed/>
    <w:rsid w:val="009332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678">
      <w:bodyDiv w:val="1"/>
      <w:marLeft w:val="0"/>
      <w:marRight w:val="0"/>
      <w:marTop w:val="0"/>
      <w:marBottom w:val="0"/>
      <w:divBdr>
        <w:top w:val="none" w:sz="0" w:space="0" w:color="auto"/>
        <w:left w:val="none" w:sz="0" w:space="0" w:color="auto"/>
        <w:bottom w:val="none" w:sz="0" w:space="0" w:color="auto"/>
        <w:right w:val="none" w:sz="0" w:space="0" w:color="auto"/>
      </w:divBdr>
    </w:div>
    <w:div w:id="500395958">
      <w:bodyDiv w:val="1"/>
      <w:marLeft w:val="0"/>
      <w:marRight w:val="0"/>
      <w:marTop w:val="0"/>
      <w:marBottom w:val="0"/>
      <w:divBdr>
        <w:top w:val="none" w:sz="0" w:space="0" w:color="auto"/>
        <w:left w:val="none" w:sz="0" w:space="0" w:color="auto"/>
        <w:bottom w:val="none" w:sz="0" w:space="0" w:color="auto"/>
        <w:right w:val="none" w:sz="0" w:space="0" w:color="auto"/>
      </w:divBdr>
    </w:div>
    <w:div w:id="583615641">
      <w:bodyDiv w:val="1"/>
      <w:marLeft w:val="0"/>
      <w:marRight w:val="0"/>
      <w:marTop w:val="0"/>
      <w:marBottom w:val="0"/>
      <w:divBdr>
        <w:top w:val="none" w:sz="0" w:space="0" w:color="auto"/>
        <w:left w:val="none" w:sz="0" w:space="0" w:color="auto"/>
        <w:bottom w:val="none" w:sz="0" w:space="0" w:color="auto"/>
        <w:right w:val="none" w:sz="0" w:space="0" w:color="auto"/>
      </w:divBdr>
    </w:div>
    <w:div w:id="800267973">
      <w:bodyDiv w:val="1"/>
      <w:marLeft w:val="0"/>
      <w:marRight w:val="0"/>
      <w:marTop w:val="0"/>
      <w:marBottom w:val="0"/>
      <w:divBdr>
        <w:top w:val="none" w:sz="0" w:space="0" w:color="auto"/>
        <w:left w:val="none" w:sz="0" w:space="0" w:color="auto"/>
        <w:bottom w:val="none" w:sz="0" w:space="0" w:color="auto"/>
        <w:right w:val="none" w:sz="0" w:space="0" w:color="auto"/>
      </w:divBdr>
    </w:div>
    <w:div w:id="841702346">
      <w:bodyDiv w:val="1"/>
      <w:marLeft w:val="0"/>
      <w:marRight w:val="0"/>
      <w:marTop w:val="0"/>
      <w:marBottom w:val="0"/>
      <w:divBdr>
        <w:top w:val="none" w:sz="0" w:space="0" w:color="auto"/>
        <w:left w:val="none" w:sz="0" w:space="0" w:color="auto"/>
        <w:bottom w:val="none" w:sz="0" w:space="0" w:color="auto"/>
        <w:right w:val="none" w:sz="0" w:space="0" w:color="auto"/>
      </w:divBdr>
    </w:div>
    <w:div w:id="113626327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429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FC6B4CE5370E4AD6BE7B0727A9101098"/>
        <w:category>
          <w:name w:val="כללי"/>
          <w:gallery w:val="placeholder"/>
        </w:category>
        <w:types>
          <w:type w:val="bbPlcHdr"/>
        </w:types>
        <w:behaviors>
          <w:behavior w:val="content"/>
        </w:behaviors>
        <w:guid w:val="{88D39310-0B18-4567-A040-96810D52050C}"/>
      </w:docPartPr>
      <w:docPartBody>
        <w:p w:rsidR="0079331F" w:rsidRDefault="00F84D39" w:rsidP="00F84D39">
          <w:pPr>
            <w:pStyle w:val="FC6B4CE5370E4AD6BE7B0727A9101098"/>
          </w:pPr>
          <w:r>
            <w:rPr>
              <w:rFonts w:ascii="Arial" w:hAnsi="Arial"/>
              <w:b/>
              <w:bCs/>
              <w:sz w:val="26"/>
              <w:szCs w:val="26"/>
              <w:rtl/>
            </w:rPr>
            <w:t>שם צד א' ללא שם של חסוי</w:t>
          </w:r>
        </w:p>
      </w:docPartBody>
    </w:docPart>
    <w:docPart>
      <w:docPartPr>
        <w:name w:val="E4EDCD88DC8346268A3ACA6B5016E27B"/>
        <w:category>
          <w:name w:val="כללי"/>
          <w:gallery w:val="placeholder"/>
        </w:category>
        <w:types>
          <w:type w:val="bbPlcHdr"/>
        </w:types>
        <w:behaviors>
          <w:behavior w:val="content"/>
        </w:behaviors>
        <w:guid w:val="{6B741CD6-C07F-4337-B78C-0162CBB9189D}"/>
      </w:docPartPr>
      <w:docPartBody>
        <w:p w:rsidR="0079331F" w:rsidRDefault="00F84D39" w:rsidP="00F84D39">
          <w:pPr>
            <w:pStyle w:val="E4EDCD88DC8346268A3ACA6B5016E27B"/>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B2ADF"/>
    <w:rsid w:val="002D02C4"/>
    <w:rsid w:val="00345C9D"/>
    <w:rsid w:val="0048651F"/>
    <w:rsid w:val="005157ED"/>
    <w:rsid w:val="005171E8"/>
    <w:rsid w:val="00556D67"/>
    <w:rsid w:val="006377AB"/>
    <w:rsid w:val="0079331F"/>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84D39"/>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 w:type="paragraph" w:customStyle="1" w:styleId="572905C28B774DB4B57806A2A28E7673">
    <w:name w:val="572905C28B774DB4B57806A2A28E7673"/>
    <w:rsid w:val="00F84D39"/>
    <w:pPr>
      <w:bidi/>
      <w:spacing w:after="160" w:line="259" w:lineRule="auto"/>
    </w:pPr>
  </w:style>
  <w:style w:type="paragraph" w:customStyle="1" w:styleId="81A26C8E633E462B8B9D113825749C68">
    <w:name w:val="81A26C8E633E462B8B9D113825749C68"/>
    <w:rsid w:val="00F84D39"/>
    <w:pPr>
      <w:bidi/>
      <w:spacing w:after="160" w:line="259" w:lineRule="auto"/>
    </w:pPr>
  </w:style>
  <w:style w:type="paragraph" w:customStyle="1" w:styleId="55F68376BC83469AB4E8E9190B548FEF">
    <w:name w:val="55F68376BC83469AB4E8E9190B548FEF"/>
    <w:rsid w:val="00F84D39"/>
    <w:pPr>
      <w:bidi/>
      <w:spacing w:after="160" w:line="259" w:lineRule="auto"/>
    </w:pPr>
  </w:style>
  <w:style w:type="paragraph" w:customStyle="1" w:styleId="125069E119E342F789B8A66A77D72928">
    <w:name w:val="125069E119E342F789B8A66A77D72928"/>
    <w:rsid w:val="00F84D39"/>
    <w:pPr>
      <w:bidi/>
      <w:spacing w:after="160" w:line="259" w:lineRule="auto"/>
    </w:pPr>
  </w:style>
  <w:style w:type="paragraph" w:customStyle="1" w:styleId="D40BCFAB74F04EC39CA88E33CBD3F43D">
    <w:name w:val="D40BCFAB74F04EC39CA88E33CBD3F43D"/>
    <w:rsid w:val="00F84D39"/>
    <w:pPr>
      <w:bidi/>
      <w:spacing w:after="160" w:line="259" w:lineRule="auto"/>
    </w:pPr>
  </w:style>
  <w:style w:type="paragraph" w:customStyle="1" w:styleId="CFD65346AE504E20800F8F33C5246CD5">
    <w:name w:val="CFD65346AE504E20800F8F33C5246CD5"/>
    <w:rsid w:val="00F84D39"/>
    <w:pPr>
      <w:bidi/>
      <w:spacing w:after="160" w:line="259" w:lineRule="auto"/>
    </w:pPr>
  </w:style>
  <w:style w:type="paragraph" w:customStyle="1" w:styleId="37C42F85C9A34CA482071E572F8F2944">
    <w:name w:val="37C42F85C9A34CA482071E572F8F2944"/>
    <w:rsid w:val="00F84D39"/>
    <w:pPr>
      <w:bidi/>
      <w:spacing w:after="160" w:line="259" w:lineRule="auto"/>
    </w:pPr>
  </w:style>
  <w:style w:type="paragraph" w:customStyle="1" w:styleId="B928AB8916254B698E7161CB00B1DE02">
    <w:name w:val="B928AB8916254B698E7161CB00B1DE02"/>
    <w:rsid w:val="00F84D39"/>
    <w:pPr>
      <w:bidi/>
      <w:spacing w:after="160" w:line="259" w:lineRule="auto"/>
    </w:pPr>
  </w:style>
  <w:style w:type="paragraph" w:customStyle="1" w:styleId="7E7492DE846B4F2884C8D45498689122">
    <w:name w:val="7E7492DE846B4F2884C8D45498689122"/>
    <w:rsid w:val="00F84D39"/>
    <w:pPr>
      <w:bidi/>
      <w:spacing w:after="160" w:line="259" w:lineRule="auto"/>
    </w:pPr>
  </w:style>
  <w:style w:type="paragraph" w:customStyle="1" w:styleId="A1ABEA181E374A789A02387453624087">
    <w:name w:val="A1ABEA181E374A789A02387453624087"/>
    <w:rsid w:val="00F84D39"/>
    <w:pPr>
      <w:bidi/>
      <w:spacing w:after="160" w:line="259" w:lineRule="auto"/>
    </w:pPr>
  </w:style>
  <w:style w:type="paragraph" w:customStyle="1" w:styleId="6BC1000C1AA64B38A35F354A65A3F75D">
    <w:name w:val="6BC1000C1AA64B38A35F354A65A3F75D"/>
    <w:rsid w:val="00F84D39"/>
    <w:pPr>
      <w:bidi/>
      <w:spacing w:after="160" w:line="259" w:lineRule="auto"/>
    </w:pPr>
  </w:style>
  <w:style w:type="paragraph" w:customStyle="1" w:styleId="C8A8AA28DA264BB0917E6C7167E12CE7">
    <w:name w:val="C8A8AA28DA264BB0917E6C7167E12CE7"/>
    <w:rsid w:val="00F84D39"/>
    <w:pPr>
      <w:bidi/>
      <w:spacing w:after="160" w:line="259" w:lineRule="auto"/>
    </w:pPr>
  </w:style>
  <w:style w:type="paragraph" w:customStyle="1" w:styleId="FC6B4CE5370E4AD6BE7B0727A9101098">
    <w:name w:val="FC6B4CE5370E4AD6BE7B0727A9101098"/>
    <w:rsid w:val="00F84D39"/>
    <w:pPr>
      <w:bidi/>
      <w:spacing w:after="160" w:line="259" w:lineRule="auto"/>
    </w:pPr>
  </w:style>
  <w:style w:type="paragraph" w:customStyle="1" w:styleId="E4EDCD88DC8346268A3ACA6B5016E27B">
    <w:name w:val="E4EDCD88DC8346268A3ACA6B5016E27B"/>
    <w:rsid w:val="00F84D39"/>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80353539</CaseID>
    <CaseJudicialPersonPresentationDS>
      <CaseJudicalPersonActive>
        <CaseID>80353539</CaseID>
        <JudicialPersonID>036186385@GOV.IL</JudicialPersonID>
        <JudicialPersonTypeID>1</JudicialPersonTypeID>
        <JudicialTypeID>1</JudicialTypeID>
        <IsChairman>false</IsChairman>
        <TreatmentStartDate>2024-02-14T09:54:11.457+02:00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נורית היינריך אשר</FullName>
        <FirstName>נורית</FirstName>
        <LastName>היינריך אשר</LastName>
        <PartyPropertyName/>
        <AuthenticationTypeAndNumber>ת"ז 032864399</AuthenticationTypeAndNumber>
        <RepresentatedOrRepresentativesNames/>
        <RepresentatedOrRepresentativesCount>0</RepresentatedOrRepresentativesCount>
        <InvitedBy/>
        <CaseID>80353539</CaseID>
        <CaseJudicialPersonPresentationDS>
          <CaseJudicalPersonActive>
            <CaseID>80353539</CaseID>
            <JudicialPersonID>036186385@GOV.IL</JudicialPersonID>
            <JudicialPersonTypeID>1</JudicialPersonTypeID>
            <JudicialTypeID>1</JudicialTypeID>
            <IsChairman>false</IsChairman>
            <TreatmentStartDate>2024-02-14T09:54:11.457+02:00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267523308</CasePartyID>
        <PartyTypeID>3</PartyTypeID>
        <ActivityStatusID>1</ActivityStatusID>
        <LegalEntityID>75436606</LegalEntityID>
        <CaseLegalEntityID>128101818</CaseLegalEntityID>
        <AssistantRoleID>103</AssistantRoleID>
        <AuthenticationTypeID>1</AuthenticationTypeID>
        <AuthenticationTypeName>ת"ז</AuthenticationTypeName>
        <LegalEntityNumber>032864399</LegalEntityNumber>
        <IsMainPartyType>true</IsMainPartyType>
        <CaseDisplayIdentifier>42295-06-23</CaseDisplayIdentifier>
        <CaseTypeID>1</CaseTypeID>
        <CaseTypeName>תיק אזרחי בסדר דין רגיל (ת"א)</CaseTypeName>
        <CaseName>קצב(אסור בפרסום) נ' איטח(אסור בפרסום) ואח'</CaseName>
        <FullAddress>ברקוביץ 4 תל אביב -יפו </FullAddress>
        <EmailAddress>nuritha@nha-law.com</EmailAddress>
        <MotionID>0</MotionID>
        <CasePleaID>0</CasePleaID>
        <LinkedCaseID>0</LinkedCaseID>
        <PartyID>1</PartyID>
        <CasePartyCategoryID>2</CasePartyCategoryID>
        <LegalEntityAddressID>84620016</LegalEntityAddressID>
        <LegalEntityEmailAddressID>68167656</LegalEntityEmailAddressID>
        <PleaTypeID>4</PleaTypeID>
        <GroupPartyAlias/>
        <IsConverted>false</IsConverted>
        <LegalEntityNameID>81922853</LegalEntityNameID>
        <RepresentatedNamesOfAssistant/>
        <LegalEntityTypeID>11</LegalEntityTypeID>
        <IsVerdictExists>false</IsVerdictExists>
        <IsAsirAzir>false</IsAsirAzir>
        <MainAndSecSpec/>
        <IsPublicationProhibited>false</IsPublicationProhibited>
        <PublicationProhibitedFullName>נורית היינריך אשר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ארז אלקים</FullName>
        <FirstName>ארז</FirstName>
        <LastName>אלקים</LastName>
        <PartyPropertyName/>
        <AuthenticationTypeAndNumber>מ.ר. 48189</AuthenticationTypeAndNumber>
        <RepresentatedOrRepresentativesNames>אייל קצב</RepresentatedOrRepresentativesNames>
        <RepresentatedOrRepresentativesCount>1</RepresentatedOrRepresentativesCount>
        <InvitedBy/>
        <CaseID>80353539</CaseID>
        <CaseJudicialPersonPresentationDS>
          <CaseJudicalPersonActive>
            <CaseID>80353539</CaseID>
            <JudicialPersonID>036186385@GOV.IL</JudicialPersonID>
            <JudicialPersonTypeID>1</JudicialPersonTypeID>
            <JudicialTypeID>1</JudicialTypeID>
            <IsChairman>false</IsChairman>
            <TreatmentStartDate>2024-02-14T09:54:11.457+02:00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257162609</CasePartyID>
        <PartyTypeID>2</PartyTypeID>
        <ActivityStatusID>1</ActivityStatusID>
        <PartyAliasID>20</PartyAliasID>
        <PartyAliasName>בא כוח תובעים</PartyAliasName>
        <OrdinalNumber>1</OrdinalNumber>
        <LegalEntityID>7553456</LegalEntityID>
        <CaseLegalEntityID>124811701</CaseLegalEntityID>
        <AuthenticationTypeID>4</AuthenticationTypeID>
        <AuthenticationTypeName>מ.ר.</AuthenticationTypeName>
        <LegalEntityNumber>48189</LegalEntityNumber>
        <IsMainPartyType>true</IsMainPartyType>
        <CaseDisplayIdentifier>42295-06-23</CaseDisplayIdentifier>
        <CaseTypeID>1</CaseTypeID>
        <CaseTypeName>תיק אזרחי בסדר דין רגיל (ת"א)</CaseTypeName>
        <CaseName>קצב(אסור בפרסום) נ' איטח(אסור בפרסום) ואח'</CaseName>
        <FullAddress>הרב קוק 8 ירושלים ת.ד 4</FullAddress>
        <MotionID>0</MotionID>
        <CasePleaID>0</CasePleaID>
        <LinkedCaseID>0</LinkedCaseID>
        <PartyID>1</PartyID>
        <CasePartyCategoryID>2</CasePartyCategoryID>
        <LegalEntityAddressID>77302458</LegalEntityAddressID>
        <PleaTypeID>4</PleaTypeID>
        <LawyerOfficeName>משרד עו"ד ארז אלקים</LawyerOfficeName>
        <LawyerOfficeID>7553457</LawyerOfficeID>
        <GroupPartyAlias/>
        <IsConverted>false</IsConverted>
        <LegalEntityNameID>7216125</LegalEntityNameID>
        <RepresentatedNamesOfAssistant/>
        <LegalEntityTypeID>4</LegalEntityTypeID>
        <IsVerdictExists>false</IsVerdictExists>
        <IsAsirAzir>false</IsAsirAzir>
        <MainAndSecSpec/>
        <IsPublicationProhibited>false</IsPublicationProhibited>
        <PublicationProhibitedFullName>ארז אלקים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אייל קצב (אסור בפרסום)</FullName>
        <FirstName>אייל</FirstName>
        <LastName>קצב</LastName>
        <PartyPropertyID>16</PartyPropertyID>
        <PartyPropertyName/>
        <AuthenticationTypeAndNumber>ת"ז 024138232</AuthenticationTypeAndNumber>
        <RepresentatedOrRepresentativesNames>ארז אלקים</RepresentatedOrRepresentativesNames>
        <RepresentatedOrRepresentativesCount>1</RepresentatedOrRepresentativesCount>
        <InvitedBy/>
        <CaseID>80353539</CaseID>
        <CaseJudicialPersonPresentationDS>
          <CaseJudicalPersonActive>
            <CaseID>80353539</CaseID>
            <JudicialPersonID>036186385@GOV.IL</JudicialPersonID>
            <JudicialPersonTypeID>1</JudicialPersonTypeID>
            <JudicialTypeID>1</JudicialTypeID>
            <IsChairman>false</IsChairman>
            <TreatmentStartDate>2024-02-14T09:54:11.457+02:00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257162608</CasePartyID>
        <PartyTypeID>1</PartyTypeID>
        <ActivityStatusID>1</ActivityStatusID>
        <PartyAliasID>1</PartyAliasID>
        <PartyAliasName>תובע</PartyAliasName>
        <OrdinalNumber>1</OrdinalNumber>
        <LegalEntityID>46233092</LegalEntityID>
        <CaseLegalEntityID>124811700</CaseLegalEntityID>
        <AuthenticationTypeID>1</AuthenticationTypeID>
        <AuthenticationTypeName>ת"ז</AuthenticationTypeName>
        <LegalEntityNumber>024138232</LegalEntityNumber>
        <IsMainPartyType>true</IsMainPartyType>
        <CaseDisplayIdentifier>42295-06-23</CaseDisplayIdentifier>
        <CaseTypeID>1</CaseTypeID>
        <CaseTypeName>תיק אזרחי בסדר דין רגיל (ת"א)</CaseTypeName>
        <CaseName>קצב(אסור בפרסום) נ' איטח(אסור בפרסום) ואח'</CaseName>
        <FullAddress>מבוא נטף 9 ירושלים </FullAddress>
        <MotionID>0</MotionID>
        <CasePleaID>0</CasePleaID>
        <FatherName>אליהו</FatherName>
        <LinkedCaseID>0</LinkedCaseID>
        <PartyID>1</PartyID>
        <CasePartyCategoryID>2</CasePartyCategoryID>
        <LegalEntityAddressID>88059293</LegalEntityAddressID>
        <GrandfatherName/>
        <DrivingLicenseNumber>1079552</DrivingLicenseNumber>
        <PleaTypeID>4</PleaTypeID>
        <GroupPartyAlias>תובעים</GroupPartyAlias>
        <IsConverted>false</IsConverted>
        <LegalEntityRegisteredNameID>4773256</LegalEntityRegisteredNameID>
        <LegalEntityNameID>95039450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אייל קצב (אסור בפרסום)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אילת איטח (אסור בפרסום)</FullName>
        <FirstName>אילת</FirstName>
        <LastName>איטח</LastName>
        <PartyPropertyID>16</PartyPropertyID>
        <PartyPropertyName/>
        <AuthenticationTypeAndNumber>ת"ז 029046612</AuthenticationTypeAndNumber>
        <RepresentatedOrRepresentativesNames>יאיר מאק</RepresentatedOrRepresentativesNames>
        <RepresentatedOrRepresentativesCount>1</RepresentatedOrRepresentativesCount>
        <InvitedBy/>
        <CaseID>80353539</CaseID>
        <CaseJudicialPersonPresentationDS>
          <CaseJudicalPersonActive>
            <CaseID>80353539</CaseID>
            <JudicialPersonID>036186385@GOV.IL</JudicialPersonID>
            <JudicialPersonTypeID>1</JudicialPersonTypeID>
            <JudicialTypeID>1</JudicialTypeID>
            <IsChairman>false</IsChairman>
            <TreatmentStartDate>2024-02-14T09:54:11.457+02:00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257162610</CasePartyID>
        <PartyTypeID>1</PartyTypeID>
        <ActivityStatusID>1</ActivityStatusID>
        <PartyAliasID>2</PartyAliasID>
        <PartyAliasName>נתבע</PartyAliasName>
        <OrdinalNumber>1</OrdinalNumber>
        <LegalEntityID>75460619</LegalEntityID>
        <CaseLegalEntityID>124811702</CaseLegalEntityID>
        <AuthenticationTypeID>1</AuthenticationTypeID>
        <AuthenticationTypeName>ת"ז</AuthenticationTypeName>
        <LegalEntityNumber>029046612</LegalEntityNumber>
        <IsMainPartyType>true</IsMainPartyType>
        <CaseDisplayIdentifier>42295-06-23</CaseDisplayIdentifier>
        <CaseTypeID>1</CaseTypeID>
        <CaseTypeName>תיק אזרחי בסדר דין רגיל (ת"א)</CaseTypeName>
        <CaseName>קצב(אסור בפרסום) נ' איטח(אסור בפרסום) ואח'</CaseName>
        <FullAddress>הרכס 72/2 מעלה אדומים </FullAddress>
        <MotionID>0</MotionID>
        <CasePleaID>0</CasePleaID>
        <FatherName>יצחק</FatherName>
        <LinkedCaseID>0</LinkedCaseID>
        <PartyID>2</PartyID>
        <CasePartyCategoryID>2</CasePartyCategoryID>
        <LegalEntityAddressID>88059294</LegalEntityAddressID>
        <PleaTypeID>4</PleaTypeID>
        <GroupPartyAlias>נתבעים</GroupPartyAlias>
        <IsConverted>false</IsConverted>
        <LegalEntityRegisteredNameID>5531338</LegalEntityRegisteredNameID>
        <LegalEntityNameID>95039451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אילת איטח (אסור בפרסום)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יאיר מאק</FullName>
        <FirstName>יאיר</FirstName>
        <LastName>מאק</LastName>
        <PartyPropertyName/>
        <AuthenticationTypeAndNumber>מ.ר. 20882</AuthenticationTypeAndNumber>
        <RepresentatedOrRepresentativesNames>אילת איטח, מאור שיף</RepresentatedOrRepresentativesNames>
        <RepresentatedOrRepresentativesCount>2</RepresentatedOrRepresentativesCount>
        <InvitedBy/>
        <CaseID>80353539</CaseID>
        <CaseJudicialPersonPresentationDS>
          <CaseJudicalPersonActive>
            <CaseID>80353539</CaseID>
            <JudicialPersonID>036186385@GOV.IL</JudicialPersonID>
            <JudicialPersonTypeID>1</JudicialPersonTypeID>
            <JudicialTypeID>1</JudicialTypeID>
            <IsChairman>false</IsChairman>
            <TreatmentStartDate>2024-02-14T09:54:11.457+02:00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261629978</CasePartyID>
        <PartyTypeID>2</PartyTypeID>
        <ActivityStatusID>1</ActivityStatusID>
        <PartyAliasID>21</PartyAliasID>
        <PartyAliasName>בא כוח נתבעים</PartyAliasName>
        <OrdinalNumber>1</OrdinalNumber>
        <LegalEntityID>386896</LegalEntityID>
        <CaseLegalEntityID>126300381</CaseLegalEntityID>
        <AuthenticationTypeID>4</AuthenticationTypeID>
        <AuthenticationTypeName>מ.ר.</AuthenticationTypeName>
        <LegalEntityNumber>20882</LegalEntityNumber>
        <IsMainPartyType>true</IsMainPartyType>
        <CaseDisplayIdentifier>42295-06-23</CaseDisplayIdentifier>
        <CaseTypeID>1</CaseTypeID>
        <CaseTypeName>תיק אזרחי בסדר דין רגיל (ת"א)</CaseTypeName>
        <CaseName>קצב(אסור בפרסום) נ' איטח(אסור בפרסום) ואח'</CaseName>
        <FullAddress>בית הדפוס 12 ירושלים </FullAddress>
        <EmailAddress>office@cohenmack.co.il</EmailAddress>
        <MotionID>0</MotionID>
        <CasePleaID>0</CasePleaID>
        <FatherName xml:space="preserve">        </FatherName>
        <LinkedCaseID>0</LinkedCaseID>
        <PartyID>2</PartyID>
        <CasePartyCategoryID>2</CasePartyCategoryID>
        <LegalEntityAddressID>73855513</LegalEntityAddressID>
        <LegalEntityEmailAddressID>67843731</LegalEntityEmailAddressID>
        <PleaTypeID>4</PleaTypeID>
        <LawyerOfficeName>משרד עו"ד: כהן-מאק</LawyerOfficeName>
        <LawyerOfficeID>431029</LawyerOfficeID>
        <GroupPartyAlias/>
        <IsConverted>false</IsConverted>
        <LegalEntityNameID>7880</LegalEntityNameID>
        <RepresentatedNamesOfAssistant/>
        <LegalEntityTypeID>4</LegalEntityTypeID>
        <IsVerdictExists>false</IsVerdictExists>
        <IsAsirAzir>false</IsAsirAzir>
        <MainAndSecSpec/>
        <IsPublicationProhibited>false</IsPublicationProhibited>
        <PublicationProhibitedFullName>יאיר מאק</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מאור שיף (אסור בפרסום)</FullName>
        <FirstName>מאור</FirstName>
        <LastName>שיף</LastName>
        <PartyPropertyID>16</PartyPropertyID>
        <PartyPropertyName/>
        <AuthenticationTypeAndNumber>ת"ז 043423813</AuthenticationTypeAndNumber>
        <RepresentatedOrRepresentativesNames>יאיר מאק</RepresentatedOrRepresentativesNames>
        <RepresentatedOrRepresentativesCount>1</RepresentatedOrRepresentativesCount>
        <InvitedBy/>
        <CaseID>80353539</CaseID>
        <CaseJudicialPersonPresentationDS>
          <CaseJudicalPersonActive>
            <CaseID>80353539</CaseID>
            <JudicialPersonID>036186385@GOV.IL</JudicialPersonID>
            <JudicialPersonTypeID>1</JudicialPersonTypeID>
            <JudicialTypeID>1</JudicialTypeID>
            <IsChairman>false</IsChairman>
            <TreatmentStartDate>2024-02-14T09:54:11.457+02:00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257162611</CasePartyID>
        <PartyTypeID>1</PartyTypeID>
        <ActivityStatusID>1</ActivityStatusID>
        <PartyAliasID>2</PartyAliasID>
        <PartyAliasName>נתבע</PartyAliasName>
        <OrdinalNumber>2</OrdinalNumber>
        <LegalEntityID>75460620</LegalEntityID>
        <CaseLegalEntityID>124811703</CaseLegalEntityID>
        <AuthenticationTypeID>1</AuthenticationTypeID>
        <AuthenticationTypeName>ת"ז</AuthenticationTypeName>
        <LegalEntityNumber>043423813</LegalEntityNumber>
        <IsMainPartyType>true</IsMainPartyType>
        <CaseDisplayIdentifier>42295-06-23</CaseDisplayIdentifier>
        <CaseTypeID>1</CaseTypeID>
        <CaseTypeName>תיק אזרחי בסדר דין רגיל (ת"א)</CaseTypeName>
        <CaseName>קצב(אסור בפרסום) נ' איטח(אסור בפרסום) ואח'</CaseName>
        <FullAddress>הבדולח 12/1 מעלה אדומים </FullAddress>
        <MotionID>0</MotionID>
        <CasePleaID>0</CasePleaID>
        <FatherName>שלמה</FatherName>
        <LinkedCaseID>0</LinkedCaseID>
        <PartyID>2</PartyID>
        <CasePartyCategoryID>2</CasePartyCategoryID>
        <LegalEntityAddressID>88059295</LegalEntityAddressID>
        <PleaTypeID>4</PleaTypeID>
        <GroupPartyAlias>נתבעים</GroupPartyAlias>
        <IsConverted>false</IsConverted>
        <LegalEntityRegisteredNameID>5531339</LegalEntityRegisteredNameID>
        <LegalEntityNameID>95039452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מאור שיף (אסור בפרסום)</PublicationProhibitedFullName>
      </CaseParties>
    </CasePartiesSelectionDS>
    <DecisionName>פסק דין  שניתנה ע"י  מוחמד חאג' יחיא</DecisionName>
    <CourtDisplayName>בית משפט השלום בירושלים</CourtDisplayName>
    <IsCaseJudgePanel>false</IsCaseJudgePanel>
    <DecisionSignatureDate>2024-09-10T14:55:22.7517171+03:00</DecisionSignatureDate>
    <OpenCaseDate>2023-06-18T12:55:00+03:00</OpenCaseDate>
    <CaseFeeSum>200000.000</CaseFeeSum>
    <DecisionTypeID>2</DecisionTypeID>
    <DecisionSignatureUserName>מוחמד חאג' יחיא</DecisionSignatureUserName>
    <DecisionSignatureDateHebrew>2024-09-10T14:55:22.7517171+03:00</DecisionSignatureDateHebrew>
    <DecisionWriterID>036186385@GOV.IL</DecisionWriterID>
    <CourtAddress>רח' חשין 1, ירושלים 9515601</CourtAddress>
    <IsAutoTextInCaseExist>false</IsAutoTextInCaseExist>
    <DecisionSignatureRoleName>שופט</DecisionSignatureRoleName>
    <DecisionSignatureUserTitleName>שופט</DecisionSignatureUserTitleName>
    <CaseName>קצב(אסור בפרסום) נ' איטח(אסור בפרסום) ואח'</CaseName>
    <DecisionNumberInCase>27</DecisionNumberInCase>
  </dt_Decision>
  <dt_DecisionCase>
    <DecisionID>0</DecisionID>
    <CaseID>80353539</CaseID>
    <CaseJudicialPersonPresentationDS>
      <CaseJudicalPersonActive>
        <CaseID>80353539</CaseID>
        <JudicialPersonID>036186385@GOV.IL</JudicialPersonID>
        <JudicialPersonTypeID>1</JudicialPersonTypeID>
        <JudicialTypeID>1</JudicialTypeID>
        <IsChairman>false</IsChairman>
        <TreatmentStartDate>2024-02-14T09:54:11.457+02:00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נורית היינריך אשר</FullName>
        <FirstName>נורית</FirstName>
        <LastName>היינריך אשר</LastName>
        <PartyPropertyName/>
        <AuthenticationTypeAndNumber>ת"ז 032864399</AuthenticationTypeAndNumber>
        <RepresentatedOrRepresentativesNames/>
        <RepresentatedOrRepresentativesCount>0</RepresentatedOrRepresentativesCount>
        <InvitedBy/>
        <CaseID>80353539</CaseID>
        <CaseJudicialPersonPresentationDS>
          <CaseJudicalPersonActive>
            <CaseID>80353539</CaseID>
            <JudicialPersonID>036186385@GOV.IL</JudicialPersonID>
            <JudicialPersonTypeID>1</JudicialPersonTypeID>
            <JudicialTypeID>1</JudicialTypeID>
            <IsChairman>false</IsChairman>
            <TreatmentStartDate>2024-02-14T09:54:11.457+02:00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267523308</CasePartyID>
        <PartyTypeID>3</PartyTypeID>
        <ActivityStatusID>1</ActivityStatusID>
        <LegalEntityID>75436606</LegalEntityID>
        <CaseLegalEntityID>128101818</CaseLegalEntityID>
        <AssistantRoleID>103</AssistantRoleID>
        <AuthenticationTypeID>1</AuthenticationTypeID>
        <AuthenticationTypeName>ת"ז</AuthenticationTypeName>
        <LegalEntityNumber>032864399</LegalEntityNumber>
        <IsMainPartyType>true</IsMainPartyType>
        <CaseDisplayIdentifier>42295-06-23</CaseDisplayIdentifier>
        <CaseTypeID>1</CaseTypeID>
        <CaseTypeName>תיק אזרחי בסדר דין רגיל (ת"א)</CaseTypeName>
        <CaseName>קצב(אסור בפרסום) נ' איטח(אסור בפרסום) ואח'</CaseName>
        <FullAddress>ברקוביץ 4 תל אביב -יפו </FullAddress>
        <EmailAddress>nuritha@nha-law.com</EmailAddress>
        <MotionID>0</MotionID>
        <CasePleaID>0</CasePleaID>
        <LinkedCaseID>0</LinkedCaseID>
        <PartyID>1</PartyID>
        <CasePartyCategoryID>2</CasePartyCategoryID>
        <LegalEntityAddressID>84620016</LegalEntityAddressID>
        <LegalEntityEmailAddressID>68167656</LegalEntityEmailAddressID>
        <PleaTypeID>4</PleaTypeID>
        <GroupPartyAlias/>
        <IsConverted>false</IsConverted>
        <LegalEntityNameID>81922853</LegalEntityNameID>
        <RepresentatedNamesOfAssistant/>
        <LegalEntityTypeID>11</LegalEntityTypeID>
        <IsVerdictExists>false</IsVerdictExists>
        <IsAsirAzir>false</IsAsirAzir>
        <MainAndSecSpec/>
        <IsPublicationProhibited>false</IsPublicationProhibited>
        <PublicationProhibitedFullName>נורית היינריך אשר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ארז אלקים</FullName>
        <FirstName>ארז</FirstName>
        <LastName>אלקים</LastName>
        <PartyPropertyName/>
        <AuthenticationTypeAndNumber>מ.ר. 48189</AuthenticationTypeAndNumber>
        <RepresentatedOrRepresentativesNames>אייל קצב</RepresentatedOrRepresentativesNames>
        <RepresentatedOrRepresentativesCount>1</RepresentatedOrRepresentativesCount>
        <InvitedBy/>
        <CaseID>80353539</CaseID>
        <CaseJudicialPersonPresentationDS>
          <CaseJudicalPersonActive>
            <CaseID>80353539</CaseID>
            <JudicialPersonID>036186385@GOV.IL</JudicialPersonID>
            <JudicialPersonTypeID>1</JudicialPersonTypeID>
            <JudicialTypeID>1</JudicialTypeID>
            <IsChairman>false</IsChairman>
            <TreatmentStartDate>2024-02-14T09:54:11.457+02:00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257162609</CasePartyID>
        <PartyTypeID>2</PartyTypeID>
        <ActivityStatusID>1</ActivityStatusID>
        <PartyAliasID>20</PartyAliasID>
        <PartyAliasName>בא כוח תובעים</PartyAliasName>
        <OrdinalNumber>1</OrdinalNumber>
        <LegalEntityID>7553456</LegalEntityID>
        <CaseLegalEntityID>124811701</CaseLegalEntityID>
        <AuthenticationTypeID>4</AuthenticationTypeID>
        <AuthenticationTypeName>מ.ר.</AuthenticationTypeName>
        <LegalEntityNumber>48189</LegalEntityNumber>
        <IsMainPartyType>true</IsMainPartyType>
        <CaseDisplayIdentifier>42295-06-23</CaseDisplayIdentifier>
        <CaseTypeID>1</CaseTypeID>
        <CaseTypeName>תיק אזרחי בסדר דין רגיל (ת"א)</CaseTypeName>
        <CaseName>קצב(אסור בפרסום) נ' איטח(אסור בפרסום) ואח'</CaseName>
        <FullAddress>הרב קוק 8 ירושלים ת.ד 4</FullAddress>
        <MotionID>0</MotionID>
        <CasePleaID>0</CasePleaID>
        <LinkedCaseID>0</LinkedCaseID>
        <PartyID>1</PartyID>
        <CasePartyCategoryID>2</CasePartyCategoryID>
        <LegalEntityAddressID>77302458</LegalEntityAddressID>
        <PleaTypeID>4</PleaTypeID>
        <LawyerOfficeName>משרד עו"ד ארז אלקים</LawyerOfficeName>
        <LawyerOfficeID>7553457</LawyerOfficeID>
        <GroupPartyAlias/>
        <IsConverted>false</IsConverted>
        <LegalEntityNameID>7216125</LegalEntityNameID>
        <RepresentatedNamesOfAssistant/>
        <LegalEntityTypeID>4</LegalEntityTypeID>
        <IsVerdictExists>false</IsVerdictExists>
        <IsAsirAzir>false</IsAsirAzir>
        <MainAndSecSpec/>
        <IsPublicationProhibited>false</IsPublicationProhibited>
        <PublicationProhibitedFullName>ארז אלקים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אייל קצב (אסור בפרסום)</FullName>
        <FirstName>אייל</FirstName>
        <LastName>קצב</LastName>
        <PartyPropertyID>16</PartyPropertyID>
        <PartyPropertyName/>
        <AuthenticationTypeAndNumber>ת"ז 024138232</AuthenticationTypeAndNumber>
        <RepresentatedOrRepresentativesNames>ארז אלקים</RepresentatedOrRepresentativesNames>
        <RepresentatedOrRepresentativesCount>1</RepresentatedOrRepresentativesCount>
        <InvitedBy/>
        <CaseID>80353539</CaseID>
        <CaseJudicialPersonPresentationDS>
          <CaseJudicalPersonActive>
            <CaseID>80353539</CaseID>
            <JudicialPersonID>036186385@GOV.IL</JudicialPersonID>
            <JudicialPersonTypeID>1</JudicialPersonTypeID>
            <JudicialTypeID>1</JudicialTypeID>
            <IsChairman>false</IsChairman>
            <TreatmentStartDate>2024-02-14T09:54:11.457+02:00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257162608</CasePartyID>
        <PartyTypeID>1</PartyTypeID>
        <ActivityStatusID>1</ActivityStatusID>
        <PartyAliasID>1</PartyAliasID>
        <PartyAliasName>תובע</PartyAliasName>
        <OrdinalNumber>1</OrdinalNumber>
        <LegalEntityID>46233092</LegalEntityID>
        <CaseLegalEntityID>124811700</CaseLegalEntityID>
        <AuthenticationTypeID>1</AuthenticationTypeID>
        <AuthenticationTypeName>ת"ז</AuthenticationTypeName>
        <LegalEntityNumber>024138232</LegalEntityNumber>
        <IsMainPartyType>true</IsMainPartyType>
        <CaseDisplayIdentifier>42295-06-23</CaseDisplayIdentifier>
        <CaseTypeID>1</CaseTypeID>
        <CaseTypeName>תיק אזרחי בסדר דין רגיל (ת"א)</CaseTypeName>
        <CaseName>קצב(אסור בפרסום) נ' איטח(אסור בפרסום) ואח'</CaseName>
        <FullAddress>מבוא נטף 9 ירושלים </FullAddress>
        <MotionID>0</MotionID>
        <CasePleaID>0</CasePleaID>
        <FatherName>אליהו</FatherName>
        <LinkedCaseID>0</LinkedCaseID>
        <PartyID>1</PartyID>
        <CasePartyCategoryID>2</CasePartyCategoryID>
        <LegalEntityAddressID>88059293</LegalEntityAddressID>
        <GrandfatherName/>
        <DrivingLicenseNumber>1079552</DrivingLicenseNumber>
        <PleaTypeID>4</PleaTypeID>
        <GroupPartyAlias>תובעים</GroupPartyAlias>
        <IsConverted>false</IsConverted>
        <LegalEntityRegisteredNameID>4773256</LegalEntityRegisteredNameID>
        <LegalEntityNameID>95039450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אייל קצב (אסור בפרסום)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אילת איטח (אסור בפרסום)</FullName>
        <FirstName>אילת</FirstName>
        <LastName>איטח</LastName>
        <PartyPropertyID>16</PartyPropertyID>
        <PartyPropertyName/>
        <AuthenticationTypeAndNumber>ת"ז 029046612</AuthenticationTypeAndNumber>
        <RepresentatedOrRepresentativesNames>יאיר מאק</RepresentatedOrRepresentativesNames>
        <RepresentatedOrRepresentativesCount>1</RepresentatedOrRepresentativesCount>
        <InvitedBy/>
        <CaseID>80353539</CaseID>
        <CaseJudicialPersonPresentationDS>
          <CaseJudicalPersonActive>
            <CaseID>80353539</CaseID>
            <JudicialPersonID>036186385@GOV.IL</JudicialPersonID>
            <JudicialPersonTypeID>1</JudicialPersonTypeID>
            <JudicialTypeID>1</JudicialTypeID>
            <IsChairman>false</IsChairman>
            <TreatmentStartDate>2024-02-14T09:54:11.457+02:00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257162610</CasePartyID>
        <PartyTypeID>1</PartyTypeID>
        <ActivityStatusID>1</ActivityStatusID>
        <PartyAliasID>2</PartyAliasID>
        <PartyAliasName>נתבע</PartyAliasName>
        <OrdinalNumber>1</OrdinalNumber>
        <LegalEntityID>75460619</LegalEntityID>
        <CaseLegalEntityID>124811702</CaseLegalEntityID>
        <AuthenticationTypeID>1</AuthenticationTypeID>
        <AuthenticationTypeName>ת"ז</AuthenticationTypeName>
        <LegalEntityNumber>029046612</LegalEntityNumber>
        <IsMainPartyType>true</IsMainPartyType>
        <CaseDisplayIdentifier>42295-06-23</CaseDisplayIdentifier>
        <CaseTypeID>1</CaseTypeID>
        <CaseTypeName>תיק אזרחי בסדר דין רגיל (ת"א)</CaseTypeName>
        <CaseName>קצב(אסור בפרסום) נ' איטח(אסור בפרסום) ואח'</CaseName>
        <FullAddress>הרכס 72/2 מעלה אדומים </FullAddress>
        <MotionID>0</MotionID>
        <CasePleaID>0</CasePleaID>
        <FatherName>יצחק</FatherName>
        <LinkedCaseID>0</LinkedCaseID>
        <PartyID>2</PartyID>
        <CasePartyCategoryID>2</CasePartyCategoryID>
        <LegalEntityAddressID>88059294</LegalEntityAddressID>
        <PleaTypeID>4</PleaTypeID>
        <GroupPartyAlias>נתבעים</GroupPartyAlias>
        <IsConverted>false</IsConverted>
        <LegalEntityRegisteredNameID>5531338</LegalEntityRegisteredNameID>
        <LegalEntityNameID>95039451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אילת איטח (אסור בפרסום)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יאיר מאק</FullName>
        <FirstName>יאיר</FirstName>
        <LastName>מאק</LastName>
        <PartyPropertyName/>
        <AuthenticationTypeAndNumber>מ.ר. 20882</AuthenticationTypeAndNumber>
        <RepresentatedOrRepresentativesNames>אילת איטח, מאור שיף</RepresentatedOrRepresentativesNames>
        <RepresentatedOrRepresentativesCount>2</RepresentatedOrRepresentativesCount>
        <InvitedBy/>
        <CaseID>80353539</CaseID>
        <CaseJudicialPersonPresentationDS>
          <CaseJudicalPersonActive>
            <CaseID>80353539</CaseID>
            <JudicialPersonID>036186385@GOV.IL</JudicialPersonID>
            <JudicialPersonTypeID>1</JudicialPersonTypeID>
            <JudicialTypeID>1</JudicialTypeID>
            <IsChairman>false</IsChairman>
            <TreatmentStartDate>2024-02-14T09:54:11.457+02:00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261629978</CasePartyID>
        <PartyTypeID>2</PartyTypeID>
        <ActivityStatusID>1</ActivityStatusID>
        <PartyAliasID>21</PartyAliasID>
        <PartyAliasName>בא כוח נתבעים</PartyAliasName>
        <OrdinalNumber>1</OrdinalNumber>
        <LegalEntityID>386896</LegalEntityID>
        <CaseLegalEntityID>126300381</CaseLegalEntityID>
        <AuthenticationTypeID>4</AuthenticationTypeID>
        <AuthenticationTypeName>מ.ר.</AuthenticationTypeName>
        <LegalEntityNumber>20882</LegalEntityNumber>
        <IsMainPartyType>true</IsMainPartyType>
        <CaseDisplayIdentifier>42295-06-23</CaseDisplayIdentifier>
        <CaseTypeID>1</CaseTypeID>
        <CaseTypeName>תיק אזרחי בסדר דין רגיל (ת"א)</CaseTypeName>
        <CaseName>קצב(אסור בפרסום) נ' איטח(אסור בפרסום) ואח'</CaseName>
        <FullAddress>בית הדפוס 12 ירושלים </FullAddress>
        <EmailAddress>office@cohenmack.co.il</EmailAddress>
        <MotionID>0</MotionID>
        <CasePleaID>0</CasePleaID>
        <FatherName xml:space="preserve">        </FatherName>
        <LinkedCaseID>0</LinkedCaseID>
        <PartyID>2</PartyID>
        <CasePartyCategoryID>2</CasePartyCategoryID>
        <LegalEntityAddressID>73855513</LegalEntityAddressID>
        <LegalEntityEmailAddressID>67843731</LegalEntityEmailAddressID>
        <PleaTypeID>4</PleaTypeID>
        <LawyerOfficeName>משרד עו"ד: כהן-מאק</LawyerOfficeName>
        <LawyerOfficeID>431029</LawyerOfficeID>
        <GroupPartyAlias/>
        <IsConverted>false</IsConverted>
        <LegalEntityNameID>7880</LegalEntityNameID>
        <RepresentatedNamesOfAssistant/>
        <LegalEntityTypeID>4</LegalEntityTypeID>
        <IsVerdictExists>false</IsVerdictExists>
        <IsAsirAzir>false</IsAsirAzir>
        <MainAndSecSpec/>
        <IsPublicationProhibited>false</IsPublicationProhibited>
        <PublicationProhibitedFullName>יאיר מאק</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מאור שיף (אסור בפרסום)</FullName>
        <FirstName>מאור</FirstName>
        <LastName>שיף</LastName>
        <PartyPropertyID>16</PartyPropertyID>
        <PartyPropertyName/>
        <AuthenticationTypeAndNumber>ת"ז 043423813</AuthenticationTypeAndNumber>
        <RepresentatedOrRepresentativesNames>יאיר מאק</RepresentatedOrRepresentativesNames>
        <RepresentatedOrRepresentativesCount>1</RepresentatedOrRepresentativesCount>
        <InvitedBy/>
        <CaseID>80353539</CaseID>
        <CaseJudicialPersonPresentationDS>
          <CaseJudicalPersonActive>
            <CaseID>80353539</CaseID>
            <JudicialPersonID>036186385@GOV.IL</JudicialPersonID>
            <JudicialPersonTypeID>1</JudicialPersonTypeID>
            <JudicialTypeID>1</JudicialTypeID>
            <IsChairman>false</IsChairman>
            <TreatmentStartDate>2024-02-14T09:54:11.457+02:00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257162611</CasePartyID>
        <PartyTypeID>1</PartyTypeID>
        <ActivityStatusID>1</ActivityStatusID>
        <PartyAliasID>2</PartyAliasID>
        <PartyAliasName>נתבע</PartyAliasName>
        <OrdinalNumber>2</OrdinalNumber>
        <LegalEntityID>75460620</LegalEntityID>
        <CaseLegalEntityID>124811703</CaseLegalEntityID>
        <AuthenticationTypeID>1</AuthenticationTypeID>
        <AuthenticationTypeName>ת"ז</AuthenticationTypeName>
        <LegalEntityNumber>043423813</LegalEntityNumber>
        <IsMainPartyType>true</IsMainPartyType>
        <CaseDisplayIdentifier>42295-06-23</CaseDisplayIdentifier>
        <CaseTypeID>1</CaseTypeID>
        <CaseTypeName>תיק אזרחי בסדר דין רגיל (ת"א)</CaseTypeName>
        <CaseName>קצב(אסור בפרסום) נ' איטח(אסור בפרסום) ואח'</CaseName>
        <FullAddress>הבדולח 12/1 מעלה אדומים </FullAddress>
        <MotionID>0</MotionID>
        <CasePleaID>0</CasePleaID>
        <FatherName>שלמה</FatherName>
        <LinkedCaseID>0</LinkedCaseID>
        <PartyID>2</PartyID>
        <CasePartyCategoryID>2</CasePartyCategoryID>
        <LegalEntityAddressID>88059295</LegalEntityAddressID>
        <PleaTypeID>4</PleaTypeID>
        <GroupPartyAlias>נתבעים</GroupPartyAlias>
        <IsConverted>false</IsConverted>
        <LegalEntityRegisteredNameID>5531339</LegalEntityRegisteredNameID>
        <LegalEntityNameID>95039452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מאור שיף (אסור בפרסום)</PublicationProhibitedFullName>
      </CaseParties>
    </CasePartiesSelectionDS>
    <CaseName>קצב(אסור בפרסום) נ' איטח(אסור בפרסום) ואח'</CaseName>
    <CaseDisplayIdentifier>42295-06-23</CaseDisplayIdentifier>
    <CaseInterestID>41</CaseInterestID>
    <CaseTypeShortName>ת"א</CaseTypeShortName>
  </dt_DecisionCase>
  <dt_DecisionJudgePanel>
    <JudgeID>036186385@GOV.IL</JudgeID>
    <DisplayName>מוחמד חאג' יחיא</DisplayName>
    <RoleName>שופט</RoleName>
    <UserTitleName>שופט</UserTitleName>
  </dt_DecisionJudgePanel>
  <dt_LegalEntityDetails>
    <Fax/>
    <Phone>052-4000504</Phone>
    <AddressDesc/>
    <PartyID>1</PartyID>
    <PartyTypeID>3</PartyTypeID>
    <DecisionID>0</DecisionID>
    <AssistantRoleID>103</AssistantRoleID>
    <StreetName>ברקוביץ 4 </StreetName>
    <ZipCode>67080</ZipCode>
    <CityName>תל אביב -יפו</CityName>
    <FullName>נורית היינריך אשר</FullName>
    <Email>nuritha@nha-law.com</Email>
    <IsPublicationProhibited>false</IsPublicationProhibited>
  </dt_LegalEntityDetails>
  <dt_LegalEntityDetails>
    <PartyID>1</PartyID>
    <PartyTypeID>1</PartyTypeID>
    <DecisionID>0</DecisionID>
    <StreetName>מבוא נטף 9</StreetName>
    <CityName>ירושלים</CityName>
    <FullName>אייל קצב</FullName>
    <IsPublicationProhibited>false</IsPublicationProhibited>
  </dt_LegalEntityDetails>
  <dt_LegalEntityDetails>
    <Fax>02-5378816</Fax>
    <Phone>02-5378814</Phone>
    <AddressDesc>ת.ד 4</AddressDesc>
    <PartyID>1</PartyID>
    <PartyTypeID>2</PartyTypeID>
    <DecisionID>0</DecisionID>
    <StreetName>הרב קוק 8</StreetName>
    <CityName>ירושלים</CityName>
    <FullName>ארז אלקים</FullName>
    <Email>erezlaw3939@gmail.com</Email>
    <IsPublicationProhibited>false</IsPublicationProhibited>
  </dt_LegalEntityDetails>
  <dt_LegalEntityDetails>
    <PartyID>2</PartyID>
    <PartyTypeID>1</PartyTypeID>
    <DecisionID>0</DecisionID>
    <StreetName>הרכס 72/2</StreetName>
    <CityName>מעלה אדומים</CityName>
    <FullName>אילת איטח</FullName>
    <IsPublicationProhibited>false</IsPublicationProhibited>
  </dt_LegalEntityDetails>
  <dt_LegalEntityDetails>
    <Fax>02-5661178</Fax>
    <Phone>02-5661177</Phone>
    <PartyID>2</PartyID>
    <PartyTypeID>2</PartyTypeID>
    <DecisionID>0</DecisionID>
    <StreetName>בית הדפוס 12</StreetName>
    <ZipCode>95483</ZipCode>
    <CityName>ירושלים</CityName>
    <FullName>יאיר מאק</FullName>
    <Email>office@cohenmack.co.il</Email>
    <IsPublicationProhibited>false</IsPublicationProhibited>
  </dt_LegalEntityDetails>
  <dt_LegalEntityDetails>
    <PartyID>2</PartyID>
    <PartyTypeID>1</PartyTypeID>
    <DecisionID>0</DecisionID>
    <StreetName>הבדולח 12/1</StreetName>
    <CityName>מעלה אדומים</CityName>
    <FullName>מאור שיף</FullName>
    <IsPublicationProhibited>false</IsPublicationProhibited>
  </dt_LegalEntityDetails>
  <dt_CaseJudicalPersonActive>
    <CaseJudicalPerson>שופט מוחמד חאג' יחיא</CaseJudicalPerson>
  </dt_CaseJudicalPersonActive>
  <dt_Sitting>
    <PreviousMeetingDate>2024-05-01T12:00:00+03:00</PreviousMeetingDate>
    <PreviousSittingTypeID>1</PreviousSittingTypeID>
    <PreviousMeetingDisplayName>שופט מוחמד חאג' יחיא</PreviousMeetingDisplayName>
    <PreviousMeetingRoleName>שופט</PreviousMeetingRoleName>
    <PreviousMeetingUserTitleName>שופט</PreviousMeetingUserTitleName>
    <PreviousMeetingUserUPN>036186385@GOV.IL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7A821-FE71-4161-B1D4-1337530986F0}">
  <ds:schemaRefs/>
</ds:datastoreItem>
</file>

<file path=customXml/itemProps2.xml><?xml version="1.0" encoding="utf-8"?>
<ds:datastoreItem xmlns:ds="http://schemas.openxmlformats.org/officeDocument/2006/customXml" ds:itemID="{5488BA8A-CF39-46F7-8AAD-489751E90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2701</Words>
  <Characters>13509</Characters>
  <Application>Microsoft Office Word</Application>
  <DocSecurity>0</DocSecurity>
  <Lines>112</Lines>
  <Paragraphs>32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2024-09-10T12:02:00Z</cp:lastPrinted>
  <dcterms:created xsi:type="dcterms:W3CDTF">2024-09-23T11:50:00Z</dcterms:created>
  <dcterms:modified xsi:type="dcterms:W3CDTF">2024-09-23T11:50:00Z</dcterms:modified>
</cp:coreProperties>
</file>